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5B6A6C"/>
          <w:sz w:val="20"/>
        </w:rPr>
        <w:t>BVK Technology · KOBRA</w:t>
      </w:r>
    </w:p>
    <w:p>
      <w:r>
        <w:rPr>
          <w:b/>
          <w:color w:val="0E6B70"/>
          <w:sz w:val="52"/>
        </w:rPr>
        <w:t>KOBRA Sonuç Raporu</w:t>
      </w:r>
    </w:p>
    <w:p>
      <w:r>
        <w:rPr>
          <w:sz w:val="26"/>
        </w:rPr>
        <w:t>Karapınar obruk risk analizi — çalıştırma sonuçları</w:t>
      </w:r>
    </w:p>
    <w:p>
      <w:r>
        <w:rPr>
          <w:color w:val="5B6A6C"/>
          <w:sz w:val="18"/>
        </w:rPr>
        <w:t>Çalıştırma: 02.11.2026 15:37 · 44 obruk · 100 m ızgara · 308.512 hücre · süre 2,5 dk</w:t>
      </w:r>
    </w:p>
    <w:p>
      <w:pPr>
        <w:pStyle w:val="Heading1"/>
      </w:pPr>
      <w:r>
        <w:t>1. Özet</w:t>
      </w:r>
    </w:p>
    <w:p>
      <w:r>
        <w:t>Karapınar'da obruklar, kireçtaşı içinde yeraltı suyunun binlerce yılda açtığı boşlukların üstündeki toprak örtünün, yeraltı suyu çekildikçe desteğini kaybedip aniden çökmesiyle oluşur. Bu nedenle obrukların sayısı, sulama için yeraltı suyunun yoğun çekildiği 2000'lerden sonra hızla artmıştır.</w:t>
      </w:r>
    </w:p>
    <w:p>
      <w:r>
        <w:t>Uydu radar ölçümlerine göre (2022–2024) bölgenin en hızlı çöken kesiminde zemin yılda yaklaşık 145 mm alçalıyor. Bu geniş alanlı oturma doğrudan obruk değildir; yeraltı suyunun azaldığını gösteren bir belirtidir. Obruklar çoğunlukla hızlı çöken alanların kenarında açılmıştır.</w:t>
      </w:r>
    </w:p>
    <w:p>
      <w:r>
        <w:t>Risk haritasının en riskli %10'luk kesimi, modelin eğitimde görmediği bölgelerdeki obrukların yaklaşık %80 kadarını içine aldı. En yüksek risk sınıfı (tanım gereği alanın %1'i, yaklaşık 31 km²) bilinen obruk kümelerinin çevresinde toplanıyor.</w:t>
      </w:r>
    </w:p>
    <w:p>
      <w:r>
        <w:t>Yeraltı suyu bugünkü hızla (yılda yaklaşık 1 m) düşmeye devam ederse Konya havzasında 2026–2040 arasında yaklaşık 440 (olası aralık 293–594) yeni obruk bekleniyor. Düşüş durdurulursa beklenen sayı yaklaşık 139 (olası aralık 66–225). Bu fark, su seviyesi sabitlendiğinde boşlukların büyümesinin ne kadar yavaşlayacağına ilişkin henüz doğrulanmamış bir varsayıma dayanır.</w:t>
      </w:r>
    </w:p>
    <w:p>
      <w:r>
        <w:t>Çevresinde (1 km) en yüksek risk görülen yerleşimler: Seyithacı Yaylası, Çıralı Yaylası, Küçükkarakuyu Yaylası, Büyükkarakuyu Yaylası, Kanlıarkaç Yaylası. Bu sıralama göreli bir önceliklendirmedir; yerinde inceleme yerine geçmez.</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E6EDEA"/>
          </w:tcPr>
          <w:p>
            <w:pPr>
              <w:spacing w:after="0"/>
            </w:pPr>
            <w:r/>
            <w:r>
              <w:rPr>
                <w:b/>
                <w:sz w:val="18"/>
              </w:rPr>
              <w:t>Gösterge</w:t>
            </w:r>
          </w:p>
        </w:tc>
        <w:tc>
          <w:tcPr>
            <w:tcW w:type="dxa" w:w="4819"/>
            <w:shd w:val="clear" w:color="auto" w:fill="E6EDEA"/>
          </w:tcPr>
          <w:p>
            <w:pPr>
              <w:spacing w:after="0"/>
            </w:pPr>
            <w:r/>
            <w:r>
              <w:rPr>
                <w:b/>
                <w:sz w:val="18"/>
              </w:rPr>
              <w:t>Değer</w:t>
            </w:r>
          </w:p>
        </w:tc>
      </w:tr>
      <w:tr>
        <w:tc>
          <w:tcPr>
            <w:tcW w:type="dxa" w:w="4819"/>
          </w:tcPr>
          <w:p>
            <w:pPr>
              <w:spacing w:after="0"/>
            </w:pPr>
            <w:r/>
            <w:r>
              <w:rPr>
                <w:b w:val="0"/>
                <w:sz w:val="18"/>
              </w:rPr>
              <w:t>Çalışma alanı</w:t>
            </w:r>
          </w:p>
        </w:tc>
        <w:tc>
          <w:tcPr>
            <w:tcW w:type="dxa" w:w="4819"/>
          </w:tcPr>
          <w:p>
            <w:pPr>
              <w:spacing w:after="0"/>
            </w:pPr>
            <w:r/>
            <w:r>
              <w:rPr>
                <w:b w:val="0"/>
                <w:sz w:val="18"/>
              </w:rPr>
              <w:t>33,30–34,00° D, 37,50–37,95° K</w:t>
            </w:r>
          </w:p>
        </w:tc>
      </w:tr>
      <w:tr>
        <w:tc>
          <w:tcPr>
            <w:tcW w:type="dxa" w:w="4819"/>
          </w:tcPr>
          <w:p>
            <w:pPr>
              <w:spacing w:after="0"/>
            </w:pPr>
            <w:r/>
            <w:r>
              <w:rPr>
                <w:b w:val="0"/>
                <w:sz w:val="18"/>
              </w:rPr>
              <w:t>Izgara</w:t>
            </w:r>
          </w:p>
        </w:tc>
        <w:tc>
          <w:tcPr>
            <w:tcW w:type="dxa" w:w="4819"/>
          </w:tcPr>
          <w:p>
            <w:pPr>
              <w:spacing w:after="0"/>
            </w:pPr>
            <w:r/>
            <w:r>
              <w:rPr>
                <w:b w:val="0"/>
                <w:sz w:val="18"/>
              </w:rPr>
              <w:t>100 m · 308.512 hücre</w:t>
            </w:r>
          </w:p>
        </w:tc>
      </w:tr>
      <w:tr>
        <w:tc>
          <w:tcPr>
            <w:tcW w:type="dxa" w:w="4819"/>
          </w:tcPr>
          <w:p>
            <w:pPr>
              <w:spacing w:after="0"/>
            </w:pPr>
            <w:r/>
            <w:r>
              <w:rPr>
                <w:b w:val="0"/>
                <w:sz w:val="18"/>
              </w:rPr>
              <w:t>Kullanılan obruk envanteri</w:t>
            </w:r>
          </w:p>
        </w:tc>
        <w:tc>
          <w:tcPr>
            <w:tcW w:type="dxa" w:w="4819"/>
          </w:tcPr>
          <w:p>
            <w:pPr>
              <w:spacing w:after="0"/>
            </w:pPr>
            <w:r/>
            <w:r>
              <w:rPr>
                <w:b w:val="0"/>
                <w:sz w:val="18"/>
              </w:rPr>
              <w:t>44 obruk</w:t>
            </w:r>
          </w:p>
        </w:tc>
      </w:tr>
      <w:tr>
        <w:tc>
          <w:tcPr>
            <w:tcW w:type="dxa" w:w="4819"/>
          </w:tcPr>
          <w:p>
            <w:pPr>
              <w:spacing w:after="0"/>
            </w:pPr>
            <w:r/>
            <w:r>
              <w:rPr>
                <w:b w:val="0"/>
                <w:sz w:val="18"/>
              </w:rPr>
              <w:t>Topluluk modeli AUC (%95 GA)</w:t>
            </w:r>
          </w:p>
        </w:tc>
        <w:tc>
          <w:tcPr>
            <w:tcW w:type="dxa" w:w="4819"/>
          </w:tcPr>
          <w:p>
            <w:pPr>
              <w:spacing w:after="0"/>
            </w:pPr>
            <w:r/>
            <w:r>
              <w:rPr>
                <w:b w:val="0"/>
                <w:sz w:val="18"/>
              </w:rPr>
              <w:t>0,909 (0,87–0,94)</w:t>
            </w:r>
          </w:p>
        </w:tc>
      </w:tr>
      <w:tr>
        <w:tc>
          <w:tcPr>
            <w:tcW w:type="dxa" w:w="4819"/>
          </w:tcPr>
          <w:p>
            <w:pPr>
              <w:spacing w:after="0"/>
            </w:pPr>
            <w:r/>
            <w:r>
              <w:rPr>
                <w:b w:val="0"/>
                <w:sz w:val="18"/>
              </w:rPr>
              <w:t>En riskli %10 alanda yakalanan obruk</w:t>
            </w:r>
          </w:p>
        </w:tc>
        <w:tc>
          <w:tcPr>
            <w:tcW w:type="dxa" w:w="4819"/>
          </w:tcPr>
          <w:p>
            <w:pPr>
              <w:spacing w:after="0"/>
            </w:pPr>
            <w:r/>
            <w:r>
              <w:rPr>
                <w:b w:val="0"/>
                <w:sz w:val="18"/>
              </w:rPr>
              <w:t>%80</w:t>
            </w:r>
          </w:p>
        </w:tc>
      </w:tr>
      <w:tr>
        <w:tc>
          <w:tcPr>
            <w:tcW w:type="dxa" w:w="4819"/>
          </w:tcPr>
          <w:p>
            <w:pPr>
              <w:spacing w:after="0"/>
            </w:pPr>
            <w:r/>
            <w:r>
              <w:rPr>
                <w:b w:val="0"/>
                <w:sz w:val="18"/>
              </w:rPr>
              <w:t>En hızlı çöken %1'lik kesim, düşey</w:t>
            </w:r>
          </w:p>
        </w:tc>
        <w:tc>
          <w:tcPr>
            <w:tcW w:type="dxa" w:w="4819"/>
          </w:tcPr>
          <w:p>
            <w:pPr>
              <w:spacing w:after="0"/>
            </w:pPr>
            <w:r/>
            <w:r>
              <w:rPr>
                <w:b w:val="0"/>
                <w:sz w:val="18"/>
              </w:rPr>
              <w:t>−145 mm/yıl</w:t>
            </w:r>
          </w:p>
        </w:tc>
      </w:tr>
      <w:tr>
        <w:tc>
          <w:tcPr>
            <w:tcW w:type="dxa" w:w="4819"/>
          </w:tcPr>
          <w:p>
            <w:pPr>
              <w:spacing w:after="0"/>
            </w:pPr>
            <w:r/>
            <w:r>
              <w:rPr>
                <w:b w:val="0"/>
                <w:sz w:val="18"/>
              </w:rPr>
              <w:t>2026'da AOI'de beklenen obruk</w:t>
            </w:r>
          </w:p>
        </w:tc>
        <w:tc>
          <w:tcPr>
            <w:tcW w:type="dxa" w:w="4819"/>
          </w:tcPr>
          <w:p>
            <w:pPr>
              <w:spacing w:after="0"/>
            </w:pPr>
            <w:r/>
            <w:r>
              <w:rPr>
                <w:b w:val="0"/>
                <w:sz w:val="18"/>
              </w:rPr>
              <w:t>yaklaşık 23,2 / yıl</w:t>
            </w:r>
          </w:p>
        </w:tc>
      </w:tr>
      <w:tr>
        <w:tc>
          <w:tcPr>
            <w:tcW w:type="dxa" w:w="4819"/>
          </w:tcPr>
          <w:p>
            <w:pPr>
              <w:spacing w:after="0"/>
            </w:pPr>
            <w:r/>
            <w:r>
              <w:rPr>
                <w:b w:val="0"/>
                <w:sz w:val="18"/>
              </w:rPr>
              <w:t>2026–2040, havza (mevcut eğilim)</w:t>
            </w:r>
          </w:p>
        </w:tc>
        <w:tc>
          <w:tcPr>
            <w:tcW w:type="dxa" w:w="4819"/>
          </w:tcPr>
          <w:p>
            <w:pPr>
              <w:spacing w:after="0"/>
            </w:pPr>
            <w:r/>
            <w:r>
              <w:rPr>
                <w:b w:val="0"/>
                <w:sz w:val="18"/>
              </w:rPr>
              <w:t>440 (293–594)</w:t>
            </w:r>
          </w:p>
        </w:tc>
      </w:tr>
      <w:tr>
        <w:tc>
          <w:tcPr>
            <w:tcW w:type="dxa" w:w="4819"/>
          </w:tcPr>
          <w:p>
            <w:pPr>
              <w:spacing w:after="0"/>
            </w:pPr>
            <w:r/>
            <w:r>
              <w:rPr>
                <w:b w:val="0"/>
                <w:sz w:val="18"/>
              </w:rPr>
              <w:t>2026–2040, havza (düşüş durursa)</w:t>
            </w:r>
          </w:p>
        </w:tc>
        <w:tc>
          <w:tcPr>
            <w:tcW w:type="dxa" w:w="4819"/>
          </w:tcPr>
          <w:p>
            <w:pPr>
              <w:spacing w:after="0"/>
            </w:pPr>
            <w:r/>
            <w:r>
              <w:rPr>
                <w:b w:val="0"/>
                <w:sz w:val="18"/>
              </w:rPr>
              <w:t>139 (66–225)</w:t>
            </w:r>
          </w:p>
        </w:tc>
      </w:tr>
    </w:tbl>
    <w:p/>
    <w:tbl>
      <w:tblPr>
        <w:tblW w:type="auto" w:w="0"/>
        <w:tblLook w:firstColumn="1" w:firstRow="1" w:lastColumn="0" w:lastRow="0" w:noHBand="0" w:noVBand="1" w:val="04A0"/>
      </w:tblPr>
      <w:tblGrid>
        <w:gridCol w:w="9638"/>
      </w:tblGrid>
      <w:tr>
        <w:tc>
          <w:tcPr>
            <w:tcW w:type="dxa" w:w="9638"/>
            <w:shd w:val="clear" w:color="auto" w:fill="F1F5F3"/>
          </w:tcPr>
          <w:p>
            <w:r/>
            <w:r>
              <w:rPr>
                <w:sz w:val="19"/>
              </w:rPr>
              <w:t>Bu rapor bir tarama ve önceliklendirme çıktısıdır. Tek bir obruğun yerini ve tarihini öngörmez; bir yapının altında boşluk olup olmadığını söylemez. Ayrıntı için 7. bölüme bakın.</w:t>
            </w:r>
          </w:p>
        </w:tc>
      </w:tr>
    </w:tbl>
    <w:p/>
    <w:p>
      <w:pPr>
        <w:pStyle w:val="Heading1"/>
      </w:pPr>
      <w:r>
        <w:t>2. Obruk risk haritası</w:t>
      </w:r>
    </w:p>
    <w:p>
      <w:r>
        <w:t>Harita, geçmiş obruklara yakınlık ile Random Forest modelinin sıra-ortalamasıdır. Koyu renkler göreli olarak daha riskli alanları gösterir; mavi daireler bu çalıştırmada kullanılan obruklardır.</w:t>
      </w:r>
    </w:p>
    <w:p>
      <w:pPr>
        <w:jc w:val="center"/>
      </w:pPr>
      <w:r>
        <w:drawing>
          <wp:inline xmlns:a="http://schemas.openxmlformats.org/drawingml/2006/main" xmlns:pic="http://schemas.openxmlformats.org/drawingml/2006/picture">
            <wp:extent cx="5580000" cy="4001210"/>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580000" cy="4001210"/>
                    </a:xfrm>
                    <a:prstGeom prst="rect"/>
                  </pic:spPr>
                </pic:pic>
              </a:graphicData>
            </a:graphic>
          </wp:inline>
        </w:drawing>
      </w:r>
    </w:p>
    <w:p>
      <w:pPr>
        <w:jc w:val="center"/>
      </w:pPr>
      <w:r>
        <w:rPr>
          <w:i/>
          <w:color w:val="5B6A6C"/>
          <w:sz w:val="17"/>
        </w:rPr>
        <w:t>Şekil 1. Obruk duyarlılığı (100 m ızgara).</w:t>
      </w:r>
    </w:p>
    <w:p>
      <w:pPr>
        <w:pStyle w:val="Heading2"/>
      </w:pPr>
      <w:r>
        <w:t>Doğrulama</w:t>
      </w:r>
    </w:p>
    <w:p>
      <w:r>
        <w:t>Model, 5 km'lik bloklara ayrılan alanda her seferinde bir grup bloğu hiç görmeden eğitildi ve o bloklardaki obrukları ne kadar iyi sıraladığı ölçüldü. Yüzdeler, haritanın en riskli o kadarlık alanında yakalanan obruk oranıdır.</w:t>
      </w:r>
    </w:p>
    <w:tbl>
      <w:tblPr>
        <w:tblStyle w:val="TableGrid"/>
        <w:tblW w:type="auto" w:w="0"/>
        <w:jc w:val="center"/>
        <w:tblLayout w:type="fixed"/>
        <w:tblLook w:firstColumn="1" w:firstRow="1" w:lastColumn="0" w:lastRow="0" w:noHBand="0" w:noVBand="1" w:val="04A0"/>
      </w:tblPr>
      <w:tblGrid>
        <w:gridCol w:w="3470"/>
        <w:gridCol w:w="2409"/>
        <w:gridCol w:w="1253"/>
        <w:gridCol w:w="1253"/>
        <w:gridCol w:w="1253"/>
      </w:tblGrid>
      <w:tr>
        <w:tc>
          <w:tcPr>
            <w:tcW w:type="dxa" w:w="3470"/>
            <w:shd w:val="clear" w:color="auto" w:fill="E6EDEA"/>
          </w:tcPr>
          <w:p>
            <w:pPr>
              <w:spacing w:after="0"/>
            </w:pPr>
            <w:r/>
            <w:r>
              <w:rPr>
                <w:b/>
                <w:sz w:val="18"/>
              </w:rPr>
              <w:t>Model</w:t>
            </w:r>
          </w:p>
        </w:tc>
        <w:tc>
          <w:tcPr>
            <w:tcW w:type="dxa" w:w="2409"/>
            <w:shd w:val="clear" w:color="auto" w:fill="E6EDEA"/>
          </w:tcPr>
          <w:p>
            <w:pPr>
              <w:spacing w:after="0"/>
            </w:pPr>
            <w:r/>
            <w:r>
              <w:rPr>
                <w:b/>
                <w:sz w:val="18"/>
              </w:rPr>
              <w:t>AUC (%95 GA)</w:t>
            </w:r>
          </w:p>
        </w:tc>
        <w:tc>
          <w:tcPr>
            <w:tcW w:type="dxa" w:w="1253"/>
            <w:shd w:val="clear" w:color="auto" w:fill="E6EDEA"/>
          </w:tcPr>
          <w:p>
            <w:pPr>
              <w:spacing w:after="0"/>
            </w:pPr>
            <w:r/>
            <w:r>
              <w:rPr>
                <w:b/>
                <w:sz w:val="18"/>
              </w:rPr>
              <w:t>En riskli %1</w:t>
            </w:r>
          </w:p>
        </w:tc>
        <w:tc>
          <w:tcPr>
            <w:tcW w:type="dxa" w:w="1253"/>
            <w:shd w:val="clear" w:color="auto" w:fill="E6EDEA"/>
          </w:tcPr>
          <w:p>
            <w:pPr>
              <w:spacing w:after="0"/>
            </w:pPr>
            <w:r/>
            <w:r>
              <w:rPr>
                <w:b/>
                <w:sz w:val="18"/>
              </w:rPr>
              <w:t>%5</w:t>
            </w:r>
          </w:p>
        </w:tc>
        <w:tc>
          <w:tcPr>
            <w:tcW w:type="dxa" w:w="1253"/>
            <w:shd w:val="clear" w:color="auto" w:fill="E6EDEA"/>
          </w:tcPr>
          <w:p>
            <w:pPr>
              <w:spacing w:after="0"/>
            </w:pPr>
            <w:r/>
            <w:r>
              <w:rPr>
                <w:b/>
                <w:sz w:val="18"/>
              </w:rPr>
              <w:t>%10</w:t>
            </w:r>
          </w:p>
        </w:tc>
      </w:tr>
      <w:tr>
        <w:tc>
          <w:tcPr>
            <w:tcW w:type="dxa" w:w="3470"/>
          </w:tcPr>
          <w:p>
            <w:pPr>
              <w:spacing w:after="0"/>
            </w:pPr>
            <w:r/>
            <w:r>
              <w:rPr>
                <w:b w:val="0"/>
                <w:sz w:val="18"/>
              </w:rPr>
              <w:t>Topluluk (yakınlık + öğrenen)</w:t>
            </w:r>
          </w:p>
        </w:tc>
        <w:tc>
          <w:tcPr>
            <w:tcW w:type="dxa" w:w="2409"/>
          </w:tcPr>
          <w:p>
            <w:pPr>
              <w:spacing w:after="0"/>
              <w:jc w:val="right"/>
            </w:pPr>
            <w:r/>
            <w:r>
              <w:rPr>
                <w:b w:val="0"/>
                <w:sz w:val="18"/>
              </w:rPr>
              <w:t>0,909 (0,87–0,94)</w:t>
            </w:r>
          </w:p>
        </w:tc>
        <w:tc>
          <w:tcPr>
            <w:tcW w:type="dxa" w:w="1253"/>
          </w:tcPr>
          <w:p>
            <w:pPr>
              <w:spacing w:after="0"/>
              <w:jc w:val="right"/>
            </w:pPr>
            <w:r/>
            <w:r>
              <w:rPr>
                <w:b w:val="0"/>
                <w:sz w:val="18"/>
              </w:rPr>
              <w:t>%14</w:t>
            </w:r>
          </w:p>
        </w:tc>
        <w:tc>
          <w:tcPr>
            <w:tcW w:type="dxa" w:w="1253"/>
          </w:tcPr>
          <w:p>
            <w:pPr>
              <w:spacing w:after="0"/>
              <w:jc w:val="right"/>
            </w:pPr>
            <w:r/>
            <w:r>
              <w:rPr>
                <w:b w:val="0"/>
                <w:sz w:val="18"/>
              </w:rPr>
              <w:t>%57</w:t>
            </w:r>
          </w:p>
        </w:tc>
        <w:tc>
          <w:tcPr>
            <w:tcW w:type="dxa" w:w="1253"/>
          </w:tcPr>
          <w:p>
            <w:pPr>
              <w:spacing w:after="0"/>
              <w:jc w:val="right"/>
            </w:pPr>
            <w:r/>
            <w:r>
              <w:rPr>
                <w:b w:val="0"/>
                <w:sz w:val="18"/>
              </w:rPr>
              <w:t>%80</w:t>
            </w:r>
          </w:p>
        </w:tc>
      </w:tr>
      <w:tr>
        <w:tc>
          <w:tcPr>
            <w:tcW w:type="dxa" w:w="3470"/>
          </w:tcPr>
          <w:p>
            <w:pPr>
              <w:spacing w:after="0"/>
            </w:pPr>
            <w:r/>
            <w:r>
              <w:rPr>
                <w:b w:val="0"/>
                <w:sz w:val="18"/>
              </w:rPr>
              <w:t>LightGBM</w:t>
            </w:r>
          </w:p>
        </w:tc>
        <w:tc>
          <w:tcPr>
            <w:tcW w:type="dxa" w:w="2409"/>
          </w:tcPr>
          <w:p>
            <w:pPr>
              <w:spacing w:after="0"/>
              <w:jc w:val="right"/>
            </w:pPr>
            <w:r/>
            <w:r>
              <w:rPr>
                <w:b w:val="0"/>
                <w:sz w:val="18"/>
              </w:rPr>
              <w:t>0,892 (0,84–0,93)</w:t>
            </w:r>
          </w:p>
        </w:tc>
        <w:tc>
          <w:tcPr>
            <w:tcW w:type="dxa" w:w="1253"/>
          </w:tcPr>
          <w:p>
            <w:pPr>
              <w:spacing w:after="0"/>
              <w:jc w:val="right"/>
            </w:pPr>
            <w:r/>
            <w:r>
              <w:rPr>
                <w:b w:val="0"/>
                <w:sz w:val="18"/>
              </w:rPr>
              <w:t>%27</w:t>
            </w:r>
          </w:p>
        </w:tc>
        <w:tc>
          <w:tcPr>
            <w:tcW w:type="dxa" w:w="1253"/>
          </w:tcPr>
          <w:p>
            <w:pPr>
              <w:spacing w:after="0"/>
              <w:jc w:val="right"/>
            </w:pPr>
            <w:r/>
            <w:r>
              <w:rPr>
                <w:b w:val="0"/>
                <w:sz w:val="18"/>
              </w:rPr>
              <w:t>%55</w:t>
            </w:r>
          </w:p>
        </w:tc>
        <w:tc>
          <w:tcPr>
            <w:tcW w:type="dxa" w:w="1253"/>
          </w:tcPr>
          <w:p>
            <w:pPr>
              <w:spacing w:after="0"/>
              <w:jc w:val="right"/>
            </w:pPr>
            <w:r/>
            <w:r>
              <w:rPr>
                <w:b w:val="0"/>
                <w:sz w:val="18"/>
              </w:rPr>
              <w:t>%73</w:t>
            </w:r>
          </w:p>
        </w:tc>
      </w:tr>
      <w:tr>
        <w:tc>
          <w:tcPr>
            <w:tcW w:type="dxa" w:w="3470"/>
          </w:tcPr>
          <w:p>
            <w:pPr>
              <w:spacing w:after="0"/>
            </w:pPr>
            <w:r/>
            <w:r>
              <w:rPr>
                <w:b w:val="0"/>
                <w:sz w:val="18"/>
              </w:rPr>
              <w:t>Random Forest</w:t>
            </w:r>
          </w:p>
        </w:tc>
        <w:tc>
          <w:tcPr>
            <w:tcW w:type="dxa" w:w="2409"/>
          </w:tcPr>
          <w:p>
            <w:pPr>
              <w:spacing w:after="0"/>
              <w:jc w:val="right"/>
            </w:pPr>
            <w:r/>
            <w:r>
              <w:rPr>
                <w:b w:val="0"/>
                <w:sz w:val="18"/>
              </w:rPr>
              <w:t>0,893 (0,84–0,94)</w:t>
            </w:r>
          </w:p>
        </w:tc>
        <w:tc>
          <w:tcPr>
            <w:tcW w:type="dxa" w:w="1253"/>
          </w:tcPr>
          <w:p>
            <w:pPr>
              <w:spacing w:after="0"/>
              <w:jc w:val="right"/>
            </w:pPr>
            <w:r/>
            <w:r>
              <w:rPr>
                <w:b w:val="0"/>
                <w:sz w:val="18"/>
              </w:rPr>
              <w:t>%32</w:t>
            </w:r>
          </w:p>
        </w:tc>
        <w:tc>
          <w:tcPr>
            <w:tcW w:type="dxa" w:w="1253"/>
          </w:tcPr>
          <w:p>
            <w:pPr>
              <w:spacing w:after="0"/>
              <w:jc w:val="right"/>
            </w:pPr>
            <w:r/>
            <w:r>
              <w:rPr>
                <w:b w:val="0"/>
                <w:sz w:val="18"/>
              </w:rPr>
              <w:t>%57</w:t>
            </w:r>
          </w:p>
        </w:tc>
        <w:tc>
          <w:tcPr>
            <w:tcW w:type="dxa" w:w="1253"/>
          </w:tcPr>
          <w:p>
            <w:pPr>
              <w:spacing w:after="0"/>
              <w:jc w:val="right"/>
            </w:pPr>
            <w:r/>
            <w:r>
              <w:rPr>
                <w:b w:val="0"/>
                <w:sz w:val="18"/>
              </w:rPr>
              <w:t>%75</w:t>
            </w:r>
          </w:p>
        </w:tc>
      </w:tr>
      <w:tr>
        <w:tc>
          <w:tcPr>
            <w:tcW w:type="dxa" w:w="3470"/>
          </w:tcPr>
          <w:p>
            <w:pPr>
              <w:spacing w:after="0"/>
            </w:pPr>
            <w:r/>
            <w:r>
              <w:rPr>
                <w:b w:val="0"/>
                <w:sz w:val="18"/>
              </w:rPr>
              <w:t>Lojistik regresyon</w:t>
            </w:r>
          </w:p>
        </w:tc>
        <w:tc>
          <w:tcPr>
            <w:tcW w:type="dxa" w:w="2409"/>
          </w:tcPr>
          <w:p>
            <w:pPr>
              <w:spacing w:after="0"/>
              <w:jc w:val="right"/>
            </w:pPr>
            <w:r/>
            <w:r>
              <w:rPr>
                <w:b w:val="0"/>
                <w:sz w:val="18"/>
              </w:rPr>
              <w:t>0,869 (0,81–0,92)</w:t>
            </w:r>
          </w:p>
        </w:tc>
        <w:tc>
          <w:tcPr>
            <w:tcW w:type="dxa" w:w="1253"/>
          </w:tcPr>
          <w:p>
            <w:pPr>
              <w:spacing w:after="0"/>
              <w:jc w:val="right"/>
            </w:pPr>
            <w:r/>
            <w:r>
              <w:rPr>
                <w:b w:val="0"/>
                <w:sz w:val="18"/>
              </w:rPr>
              <w:t>%34</w:t>
            </w:r>
          </w:p>
        </w:tc>
        <w:tc>
          <w:tcPr>
            <w:tcW w:type="dxa" w:w="1253"/>
          </w:tcPr>
          <w:p>
            <w:pPr>
              <w:spacing w:after="0"/>
              <w:jc w:val="right"/>
            </w:pPr>
            <w:r/>
            <w:r>
              <w:rPr>
                <w:b w:val="0"/>
                <w:sz w:val="18"/>
              </w:rPr>
              <w:t>%59</w:t>
            </w:r>
          </w:p>
        </w:tc>
        <w:tc>
          <w:tcPr>
            <w:tcW w:type="dxa" w:w="1253"/>
          </w:tcPr>
          <w:p>
            <w:pPr>
              <w:spacing w:after="0"/>
              <w:jc w:val="right"/>
            </w:pPr>
            <w:r/>
            <w:r>
              <w:rPr>
                <w:b w:val="0"/>
                <w:sz w:val="18"/>
              </w:rPr>
              <w:t>%66</w:t>
            </w:r>
          </w:p>
        </w:tc>
      </w:tr>
      <w:tr>
        <w:tc>
          <w:tcPr>
            <w:tcW w:type="dxa" w:w="3470"/>
          </w:tcPr>
          <w:p>
            <w:pPr>
              <w:spacing w:after="0"/>
            </w:pPr>
            <w:r/>
            <w:r>
              <w:rPr>
                <w:b w:val="0"/>
                <w:sz w:val="18"/>
              </w:rPr>
              <w:t>Yakınlık taban çizgisi</w:t>
            </w:r>
          </w:p>
        </w:tc>
        <w:tc>
          <w:tcPr>
            <w:tcW w:type="dxa" w:w="2409"/>
          </w:tcPr>
          <w:p>
            <w:pPr>
              <w:spacing w:after="0"/>
              <w:jc w:val="right"/>
            </w:pPr>
            <w:r/>
            <w:r>
              <w:rPr>
                <w:b w:val="0"/>
                <w:sz w:val="18"/>
              </w:rPr>
              <w:t>0,872 (0,83–0,91)</w:t>
            </w:r>
          </w:p>
        </w:tc>
        <w:tc>
          <w:tcPr>
            <w:tcW w:type="dxa" w:w="1253"/>
          </w:tcPr>
          <w:p>
            <w:pPr>
              <w:spacing w:after="0"/>
              <w:jc w:val="right"/>
            </w:pPr>
            <w:r/>
            <w:r>
              <w:rPr>
                <w:b w:val="0"/>
                <w:sz w:val="18"/>
              </w:rPr>
              <w:t>%20</w:t>
            </w:r>
          </w:p>
        </w:tc>
        <w:tc>
          <w:tcPr>
            <w:tcW w:type="dxa" w:w="1253"/>
          </w:tcPr>
          <w:p>
            <w:pPr>
              <w:spacing w:after="0"/>
              <w:jc w:val="right"/>
            </w:pPr>
            <w:r/>
            <w:r>
              <w:rPr>
                <w:b w:val="0"/>
                <w:sz w:val="18"/>
              </w:rPr>
              <w:t>%34</w:t>
            </w:r>
          </w:p>
        </w:tc>
        <w:tc>
          <w:tcPr>
            <w:tcW w:type="dxa" w:w="1253"/>
          </w:tcPr>
          <w:p>
            <w:pPr>
              <w:spacing w:after="0"/>
              <w:jc w:val="right"/>
            </w:pPr>
            <w:r/>
            <w:r>
              <w:rPr>
                <w:b w:val="0"/>
                <w:sz w:val="18"/>
              </w:rPr>
              <w:t>%52</w:t>
            </w:r>
          </w:p>
        </w:tc>
      </w:tr>
      <w:tr>
        <w:tc>
          <w:tcPr>
            <w:tcW w:type="dxa" w:w="3470"/>
          </w:tcPr>
          <w:p>
            <w:pPr>
              <w:spacing w:after="0"/>
            </w:pPr>
            <w:r/>
            <w:r>
              <w:rPr>
                <w:b w:val="0"/>
                <w:sz w:val="18"/>
              </w:rPr>
              <w:t>Klasik çekirdek (RBF Nyström)</w:t>
            </w:r>
          </w:p>
        </w:tc>
        <w:tc>
          <w:tcPr>
            <w:tcW w:type="dxa" w:w="2409"/>
          </w:tcPr>
          <w:p>
            <w:pPr>
              <w:spacing w:after="0"/>
              <w:jc w:val="right"/>
            </w:pPr>
            <w:r/>
            <w:r>
              <w:rPr>
                <w:b w:val="0"/>
                <w:sz w:val="18"/>
              </w:rPr>
              <w:t>0,873 (0,82–0,92)</w:t>
            </w:r>
          </w:p>
        </w:tc>
        <w:tc>
          <w:tcPr>
            <w:tcW w:type="dxa" w:w="1253"/>
          </w:tcPr>
          <w:p>
            <w:pPr>
              <w:spacing w:after="0"/>
              <w:jc w:val="right"/>
            </w:pPr>
            <w:r/>
            <w:r>
              <w:rPr>
                <w:b w:val="0"/>
                <w:sz w:val="18"/>
              </w:rPr>
              <w:t>%20</w:t>
            </w:r>
          </w:p>
        </w:tc>
        <w:tc>
          <w:tcPr>
            <w:tcW w:type="dxa" w:w="1253"/>
          </w:tcPr>
          <w:p>
            <w:pPr>
              <w:spacing w:after="0"/>
              <w:jc w:val="right"/>
            </w:pPr>
            <w:r/>
            <w:r>
              <w:rPr>
                <w:b w:val="0"/>
                <w:sz w:val="18"/>
              </w:rPr>
              <w:t>%52</w:t>
            </w:r>
          </w:p>
        </w:tc>
        <w:tc>
          <w:tcPr>
            <w:tcW w:type="dxa" w:w="1253"/>
          </w:tcPr>
          <w:p>
            <w:pPr>
              <w:spacing w:after="0"/>
              <w:jc w:val="right"/>
            </w:pPr>
            <w:r/>
            <w:r>
              <w:rPr>
                <w:b w:val="0"/>
                <w:sz w:val="18"/>
              </w:rPr>
              <w:t>%64</w:t>
            </w:r>
          </w:p>
        </w:tc>
      </w:tr>
      <w:tr>
        <w:tc>
          <w:tcPr>
            <w:tcW w:type="dxa" w:w="3470"/>
          </w:tcPr>
          <w:p>
            <w:pPr>
              <w:spacing w:after="0"/>
            </w:pPr>
            <w:r/>
            <w:r>
              <w:rPr>
                <w:b w:val="0"/>
                <w:sz w:val="18"/>
              </w:rPr>
              <w:t>Kuantum çekirdek (6 kübit)</w:t>
            </w:r>
          </w:p>
        </w:tc>
        <w:tc>
          <w:tcPr>
            <w:tcW w:type="dxa" w:w="2409"/>
          </w:tcPr>
          <w:p>
            <w:pPr>
              <w:spacing w:after="0"/>
              <w:jc w:val="right"/>
            </w:pPr>
            <w:r/>
            <w:r>
              <w:rPr>
                <w:b w:val="0"/>
                <w:sz w:val="18"/>
              </w:rPr>
              <w:t>0,864 (0,80–0,91)</w:t>
            </w:r>
          </w:p>
        </w:tc>
        <w:tc>
          <w:tcPr>
            <w:tcW w:type="dxa" w:w="1253"/>
          </w:tcPr>
          <w:p>
            <w:pPr>
              <w:spacing w:after="0"/>
              <w:jc w:val="right"/>
            </w:pPr>
            <w:r/>
            <w:r>
              <w:rPr>
                <w:b w:val="0"/>
                <w:sz w:val="18"/>
              </w:rPr>
              <w:t>%23</w:t>
            </w:r>
          </w:p>
        </w:tc>
        <w:tc>
          <w:tcPr>
            <w:tcW w:type="dxa" w:w="1253"/>
          </w:tcPr>
          <w:p>
            <w:pPr>
              <w:spacing w:after="0"/>
              <w:jc w:val="right"/>
            </w:pPr>
            <w:r/>
            <w:r>
              <w:rPr>
                <w:b w:val="0"/>
                <w:sz w:val="18"/>
              </w:rPr>
              <w:t>%41</w:t>
            </w:r>
          </w:p>
        </w:tc>
        <w:tc>
          <w:tcPr>
            <w:tcW w:type="dxa" w:w="1253"/>
          </w:tcPr>
          <w:p>
            <w:pPr>
              <w:spacing w:after="0"/>
              <w:jc w:val="right"/>
            </w:pPr>
            <w:r/>
            <w:r>
              <w:rPr>
                <w:b w:val="0"/>
                <w:sz w:val="18"/>
              </w:rPr>
              <w:t>%66</w:t>
            </w:r>
          </w:p>
        </w:tc>
      </w:tr>
    </w:tbl>
    <w:p/>
    <w:p>
      <w:r>
        <w:t>Yalnızca geçmiş obruklara uzaklığa bakan taban çizgisi AUC 0,872 verdi; topluluk modeli buna 0,037 ekledi. Bu, arazi, sulama ve fay bilgisinin yakınlığın ötesinde sınırlı bir katkı yaptığını gösterir.</w:t>
      </w:r>
    </w:p>
    <w:p>
      <w:pPr>
        <w:jc w:val="center"/>
      </w:pPr>
      <w:r>
        <w:drawing>
          <wp:inline xmlns:a="http://schemas.openxmlformats.org/drawingml/2006/main" xmlns:pic="http://schemas.openxmlformats.org/drawingml/2006/picture">
            <wp:extent cx="4500000" cy="3244934"/>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00000" cy="3244934"/>
                    </a:xfrm>
                    <a:prstGeom prst="rect"/>
                  </pic:spPr>
                </pic:pic>
              </a:graphicData>
            </a:graphic>
          </wp:inline>
        </w:drawing>
      </w:r>
    </w:p>
    <w:p>
      <w:pPr>
        <w:jc w:val="center"/>
      </w:pPr>
      <w:r>
        <w:rPr>
          <w:i/>
          <w:color w:val="5B6A6C"/>
          <w:sz w:val="17"/>
        </w:rPr>
        <w:t>Şekil 2. Alan-yakalama eğrileri (katlar dışı).</w:t>
      </w:r>
    </w:p>
    <w:p>
      <w:r>
        <w:t>Seçilen öğrenenin (Random Forest) en çok kullandığı öznitelikler: geçmiş obruğa uzaklık, obruk yoğunluğu, faya uzaklık, kil oranı, 3 km sulama yoğunluğu, eğim.</w:t>
      </w:r>
    </w:p>
    <w:p>
      <w:pPr>
        <w:pStyle w:val="Heading1"/>
      </w:pPr>
      <w:r>
        <w:t>3. Yer hareketi (jeodezi)</w:t>
      </w:r>
    </w:p>
    <w:p>
      <w:r>
        <w:t>COMET-LiCSAR uydu radar interferogramlarından küçük-baz (SBAS) yöntemiyle 2022–2024 hızları hesaplandı; yükselen ve alçalan yörüngeler birleştirilerek düşey bileşen çıkarıldı. Ölçüm, alanın yaklaşık %34 kadarında güvenilir (koherens ≥ 0,5); boş kalan kesimler çoğunlukla tarım alanlarıdır. En hızlı çöken %1'lik kesimde düşey hız yaklaşık −145 mm/yıl.</w:t>
      </w:r>
    </w:p>
    <w:p>
      <w:pPr>
        <w:jc w:val="center"/>
      </w:pPr>
      <w:r>
        <w:drawing>
          <wp:inline xmlns:a="http://schemas.openxmlformats.org/drawingml/2006/main" xmlns:pic="http://schemas.openxmlformats.org/drawingml/2006/picture">
            <wp:extent cx="5580000" cy="386352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580000" cy="3863525"/>
                    </a:xfrm>
                    <a:prstGeom prst="rect"/>
                  </pic:spPr>
                </pic:pic>
              </a:graphicData>
            </a:graphic>
          </wp:inline>
        </w:drawing>
      </w:r>
    </w:p>
    <w:p>
      <w:pPr>
        <w:jc w:val="center"/>
      </w:pPr>
      <w:r>
        <w:rPr>
          <w:i/>
          <w:color w:val="5B6A6C"/>
          <w:sz w:val="17"/>
        </w:rPr>
        <w:t>Şekil 3. Düşey yer hareketi, 2022–2024 (mm/yıl).</w:t>
      </w:r>
    </w:p>
    <w:tbl>
      <w:tblPr>
        <w:tblStyle w:val="TableGrid"/>
        <w:tblW w:type="auto" w:w="0"/>
        <w:jc w:val="center"/>
        <w:tblLayout w:type="fixed"/>
        <w:tblLook w:firstColumn="1" w:firstRow="1" w:lastColumn="0" w:lastRow="0" w:noHBand="0" w:noVBand="1" w:val="04A0"/>
      </w:tblPr>
      <w:tblGrid>
        <w:gridCol w:w="1928"/>
        <w:gridCol w:w="3470"/>
        <w:gridCol w:w="2120"/>
        <w:gridCol w:w="2120"/>
      </w:tblGrid>
      <w:tr>
        <w:tc>
          <w:tcPr>
            <w:tcW w:type="dxa" w:w="1928"/>
            <w:shd w:val="clear" w:color="auto" w:fill="E6EDEA"/>
          </w:tcPr>
          <w:p>
            <w:pPr>
              <w:spacing w:after="0"/>
            </w:pPr>
            <w:r/>
            <w:r>
              <w:rPr>
                <w:b/>
                <w:sz w:val="18"/>
              </w:rPr>
              <w:t>GNSS istasyonu</w:t>
            </w:r>
          </w:p>
        </w:tc>
        <w:tc>
          <w:tcPr>
            <w:tcW w:type="dxa" w:w="3470"/>
            <w:shd w:val="clear" w:color="auto" w:fill="E6EDEA"/>
          </w:tcPr>
          <w:p>
            <w:pPr>
              <w:spacing w:after="0"/>
            </w:pPr>
            <w:r/>
            <w:r>
              <w:rPr>
                <w:b/>
                <w:sz w:val="18"/>
              </w:rPr>
              <w:t>Dönem</w:t>
            </w:r>
          </w:p>
        </w:tc>
        <w:tc>
          <w:tcPr>
            <w:tcW w:type="dxa" w:w="2120"/>
            <w:shd w:val="clear" w:color="auto" w:fill="E6EDEA"/>
          </w:tcPr>
          <w:p>
            <w:pPr>
              <w:spacing w:after="0"/>
            </w:pPr>
            <w:r/>
            <w:r>
              <w:rPr>
                <w:b/>
                <w:sz w:val="18"/>
              </w:rPr>
              <w:t>Düşey hız</w:t>
            </w:r>
          </w:p>
        </w:tc>
        <w:tc>
          <w:tcPr>
            <w:tcW w:type="dxa" w:w="2120"/>
            <w:shd w:val="clear" w:color="auto" w:fill="E6EDEA"/>
          </w:tcPr>
          <w:p>
            <w:pPr>
              <w:spacing w:after="0"/>
            </w:pPr>
            <w:r/>
            <w:r>
              <w:rPr>
                <w:b/>
                <w:sz w:val="18"/>
              </w:rPr>
              <w:t>Doğu hızı</w:t>
            </w:r>
          </w:p>
        </w:tc>
      </w:tr>
      <w:tr>
        <w:tc>
          <w:tcPr>
            <w:tcW w:type="dxa" w:w="1928"/>
          </w:tcPr>
          <w:p>
            <w:pPr>
              <w:spacing w:after="0"/>
            </w:pPr>
            <w:r/>
            <w:r>
              <w:rPr>
                <w:b w:val="0"/>
                <w:sz w:val="18"/>
              </w:rPr>
              <w:t>KAPN</w:t>
            </w:r>
          </w:p>
        </w:tc>
        <w:tc>
          <w:tcPr>
            <w:tcW w:type="dxa" w:w="3470"/>
          </w:tcPr>
          <w:p>
            <w:pPr>
              <w:spacing w:after="0"/>
            </w:pPr>
            <w:r/>
            <w:r>
              <w:rPr>
                <w:b w:val="0"/>
                <w:sz w:val="18"/>
              </w:rPr>
              <w:t>2009-01-16 → 2015-10-31</w:t>
            </w:r>
          </w:p>
        </w:tc>
        <w:tc>
          <w:tcPr>
            <w:tcW w:type="dxa" w:w="2120"/>
          </w:tcPr>
          <w:p>
            <w:pPr>
              <w:spacing w:after="0"/>
              <w:jc w:val="right"/>
            </w:pPr>
            <w:r/>
            <w:r>
              <w:rPr>
                <w:b w:val="0"/>
                <w:sz w:val="18"/>
              </w:rPr>
              <w:t>−6,5 mm/yıl</w:t>
            </w:r>
          </w:p>
        </w:tc>
        <w:tc>
          <w:tcPr>
            <w:tcW w:type="dxa" w:w="2120"/>
          </w:tcPr>
          <w:p>
            <w:pPr>
              <w:spacing w:after="0"/>
              <w:jc w:val="right"/>
            </w:pPr>
            <w:r/>
            <w:r>
              <w:rPr>
                <w:b w:val="0"/>
                <w:sz w:val="18"/>
              </w:rPr>
              <w:t>12,6 mm/yıl</w:t>
            </w:r>
          </w:p>
        </w:tc>
      </w:tr>
      <w:tr>
        <w:tc>
          <w:tcPr>
            <w:tcW w:type="dxa" w:w="1928"/>
          </w:tcPr>
          <w:p>
            <w:pPr>
              <w:spacing w:after="0"/>
            </w:pPr>
            <w:r/>
            <w:r>
              <w:rPr>
                <w:b w:val="0"/>
                <w:sz w:val="18"/>
              </w:rPr>
              <w:t>KAP1</w:t>
            </w:r>
          </w:p>
        </w:tc>
        <w:tc>
          <w:tcPr>
            <w:tcW w:type="dxa" w:w="3470"/>
          </w:tcPr>
          <w:p>
            <w:pPr>
              <w:spacing w:after="0"/>
            </w:pPr>
            <w:r/>
            <w:r>
              <w:rPr>
                <w:b w:val="0"/>
                <w:sz w:val="18"/>
              </w:rPr>
              <w:t>2020-09-15 → 2023-05-15</w:t>
            </w:r>
          </w:p>
        </w:tc>
        <w:tc>
          <w:tcPr>
            <w:tcW w:type="dxa" w:w="2120"/>
          </w:tcPr>
          <w:p>
            <w:pPr>
              <w:spacing w:after="0"/>
              <w:jc w:val="right"/>
            </w:pPr>
            <w:r/>
            <w:r>
              <w:rPr>
                <w:b w:val="0"/>
                <w:sz w:val="18"/>
              </w:rPr>
              <w:t>−57,3 mm/yıl</w:t>
            </w:r>
          </w:p>
        </w:tc>
        <w:tc>
          <w:tcPr>
            <w:tcW w:type="dxa" w:w="2120"/>
          </w:tcPr>
          <w:p>
            <w:pPr>
              <w:spacing w:after="0"/>
              <w:jc w:val="right"/>
            </w:pPr>
            <w:r/>
            <w:r>
              <w:rPr>
                <w:b w:val="0"/>
                <w:sz w:val="18"/>
              </w:rPr>
              <w:t>−4,4 mm/yıl</w:t>
            </w:r>
          </w:p>
        </w:tc>
      </w:tr>
    </w:tbl>
    <w:p/>
    <w:p>
      <w:r>
        <w:t>KAP1 istasyonunda uydu radarı −106 mm/yıl, GNSS −57 mm/yıl düşey hız veriyor (oran 1,8). Dönemler (2022–2024 ve 2020–2023), ölçek (100 m piksel ve tek nokta) ve referanslama farklı; fark TUSAGA-Aktif verisiyle aynı döneme bağlanarak çözülmelidir.</w:t>
      </w:r>
    </w:p>
    <w:p>
      <w:pPr>
        <w:jc w:val="center"/>
      </w:pPr>
      <w:r>
        <w:drawing>
          <wp:inline xmlns:a="http://schemas.openxmlformats.org/drawingml/2006/main" xmlns:pic="http://schemas.openxmlformats.org/drawingml/2006/picture">
            <wp:extent cx="5040000" cy="2370857"/>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2370857"/>
                    </a:xfrm>
                    <a:prstGeom prst="rect"/>
                  </pic:spPr>
                </pic:pic>
              </a:graphicData>
            </a:graphic>
          </wp:inline>
        </w:drawing>
      </w:r>
    </w:p>
    <w:p>
      <w:pPr>
        <w:jc w:val="center"/>
      </w:pPr>
      <w:r>
        <w:rPr>
          <w:i/>
          <w:color w:val="5B6A6C"/>
          <w:sz w:val="17"/>
        </w:rPr>
        <w:t>Şekil 4. GNSS düşey zaman serileri.</w:t>
      </w:r>
    </w:p>
    <w:p>
      <w:pPr>
        <w:pStyle w:val="Heading1"/>
      </w:pPr>
      <w:r>
        <w:t>4. Yeraltı suyu senaryoları</w:t>
      </w:r>
    </w:p>
    <w:p>
      <w:r>
        <w:t>Fizik tabanlı örtü-çökme simülatörü, kireçtaşındaki boşlukların üstündeki örtünün yeraltı suyu düştükçe nasıl taşıyamaz hâle geldiğini Monte Carlo yöntemiyle canlandırır. Kalibrasyon: 2000–2010: gözlenen 3, model 3,2; 2016–2019: gözlenen 32, model 25,2; 2020–2024: gözlenen 22, model 27,6 obruk/yıl.</w:t>
      </w:r>
    </w:p>
    <w:p>
      <w:pPr>
        <w:jc w:val="center"/>
      </w:pPr>
      <w:r>
        <w:drawing>
          <wp:inline xmlns:a="http://schemas.openxmlformats.org/drawingml/2006/main" xmlns:pic="http://schemas.openxmlformats.org/drawingml/2006/picture">
            <wp:extent cx="5580000" cy="2184545"/>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580000" cy="2184545"/>
                    </a:xfrm>
                    <a:prstGeom prst="rect"/>
                  </pic:spPr>
                </pic:pic>
              </a:graphicData>
            </a:graphic>
          </wp:inline>
        </w:drawing>
      </w:r>
    </w:p>
    <w:p>
      <w:pPr>
        <w:jc w:val="center"/>
      </w:pPr>
      <w:r>
        <w:rPr>
          <w:i/>
          <w:color w:val="5B6A6C"/>
          <w:sz w:val="17"/>
        </w:rPr>
        <w:t>Şekil 5. Kalibrasyon ve senaryolar.</w:t>
      </w:r>
    </w:p>
    <w:tbl>
      <w:tblPr>
        <w:tblStyle w:val="TableGrid"/>
        <w:tblW w:type="auto" w:w="0"/>
        <w:jc w:val="center"/>
        <w:tblLayout w:type="fixed"/>
        <w:tblLook w:firstColumn="1" w:firstRow="1" w:lastColumn="0" w:lastRow="0" w:noHBand="0" w:noVBand="1" w:val="04A0"/>
      </w:tblPr>
      <w:tblGrid>
        <w:gridCol w:w="5397"/>
        <w:gridCol w:w="2120"/>
        <w:gridCol w:w="2120"/>
      </w:tblGrid>
      <w:tr>
        <w:tc>
          <w:tcPr>
            <w:tcW w:type="dxa" w:w="5397"/>
            <w:shd w:val="clear" w:color="auto" w:fill="E6EDEA"/>
          </w:tcPr>
          <w:p>
            <w:pPr>
              <w:spacing w:after="0"/>
            </w:pPr>
            <w:r/>
            <w:r>
              <w:rPr>
                <w:b/>
                <w:sz w:val="18"/>
              </w:rPr>
              <w:t>Senaryo (2026–2040, Konya havzası)</w:t>
            </w:r>
          </w:p>
        </w:tc>
        <w:tc>
          <w:tcPr>
            <w:tcW w:type="dxa" w:w="2120"/>
            <w:shd w:val="clear" w:color="auto" w:fill="E6EDEA"/>
          </w:tcPr>
          <w:p>
            <w:pPr>
              <w:spacing w:after="0"/>
            </w:pPr>
            <w:r/>
            <w:r>
              <w:rPr>
                <w:b/>
                <w:sz w:val="18"/>
              </w:rPr>
              <w:t>Beklenen obruk</w:t>
            </w:r>
          </w:p>
        </w:tc>
        <w:tc>
          <w:tcPr>
            <w:tcW w:type="dxa" w:w="2120"/>
            <w:shd w:val="clear" w:color="auto" w:fill="E6EDEA"/>
          </w:tcPr>
          <w:p>
            <w:pPr>
              <w:spacing w:after="0"/>
            </w:pPr>
            <w:r/>
            <w:r>
              <w:rPr>
                <w:b/>
                <w:sz w:val="18"/>
              </w:rPr>
              <w:t>%5–95 aralığı</w:t>
            </w:r>
          </w:p>
        </w:tc>
      </w:tr>
      <w:tr>
        <w:tc>
          <w:tcPr>
            <w:tcW w:type="dxa" w:w="5397"/>
          </w:tcPr>
          <w:p>
            <w:pPr>
              <w:spacing w:after="0"/>
            </w:pPr>
            <w:r/>
            <w:r>
              <w:rPr>
                <w:b w:val="0"/>
                <w:sz w:val="18"/>
              </w:rPr>
              <w:t>Mevcut eğilim (1,0 m/yıl)</w:t>
            </w:r>
          </w:p>
        </w:tc>
        <w:tc>
          <w:tcPr>
            <w:tcW w:type="dxa" w:w="2120"/>
          </w:tcPr>
          <w:p>
            <w:pPr>
              <w:spacing w:after="0"/>
              <w:jc w:val="right"/>
            </w:pPr>
            <w:r/>
            <w:r>
              <w:rPr>
                <w:b w:val="0"/>
                <w:sz w:val="18"/>
              </w:rPr>
              <w:t>440</w:t>
            </w:r>
          </w:p>
        </w:tc>
        <w:tc>
          <w:tcPr>
            <w:tcW w:type="dxa" w:w="2120"/>
          </w:tcPr>
          <w:p>
            <w:pPr>
              <w:spacing w:after="0"/>
              <w:jc w:val="right"/>
            </w:pPr>
            <w:r/>
            <w:r>
              <w:rPr>
                <w:b w:val="0"/>
                <w:sz w:val="18"/>
              </w:rPr>
              <w:t>293–594</w:t>
            </w:r>
          </w:p>
        </w:tc>
      </w:tr>
      <w:tr>
        <w:tc>
          <w:tcPr>
            <w:tcW w:type="dxa" w:w="5397"/>
          </w:tcPr>
          <w:p>
            <w:pPr>
              <w:spacing w:after="0"/>
            </w:pPr>
            <w:r/>
            <w:r>
              <w:rPr>
                <w:b w:val="0"/>
                <w:sz w:val="18"/>
              </w:rPr>
              <w:t>Yarıya indirme (0,5 m/yıl)</w:t>
            </w:r>
          </w:p>
        </w:tc>
        <w:tc>
          <w:tcPr>
            <w:tcW w:type="dxa" w:w="2120"/>
          </w:tcPr>
          <w:p>
            <w:pPr>
              <w:spacing w:after="0"/>
              <w:jc w:val="right"/>
            </w:pPr>
            <w:r/>
            <w:r>
              <w:rPr>
                <w:b w:val="0"/>
                <w:sz w:val="18"/>
              </w:rPr>
              <w:t>301</w:t>
            </w:r>
          </w:p>
        </w:tc>
        <w:tc>
          <w:tcPr>
            <w:tcW w:type="dxa" w:w="2120"/>
          </w:tcPr>
          <w:p>
            <w:pPr>
              <w:spacing w:after="0"/>
              <w:jc w:val="right"/>
            </w:pPr>
            <w:r/>
            <w:r>
              <w:rPr>
                <w:b w:val="0"/>
                <w:sz w:val="18"/>
              </w:rPr>
              <w:t>189–426</w:t>
            </w:r>
          </w:p>
        </w:tc>
      </w:tr>
      <w:tr>
        <w:tc>
          <w:tcPr>
            <w:tcW w:type="dxa" w:w="5397"/>
          </w:tcPr>
          <w:p>
            <w:pPr>
              <w:spacing w:after="0"/>
            </w:pPr>
            <w:r/>
            <w:r>
              <w:rPr>
                <w:b w:val="0"/>
                <w:sz w:val="18"/>
              </w:rPr>
              <w:t>Stabilizasyon (0 m/yıl)</w:t>
            </w:r>
          </w:p>
        </w:tc>
        <w:tc>
          <w:tcPr>
            <w:tcW w:type="dxa" w:w="2120"/>
          </w:tcPr>
          <w:p>
            <w:pPr>
              <w:spacing w:after="0"/>
              <w:jc w:val="right"/>
            </w:pPr>
            <w:r/>
            <w:r>
              <w:rPr>
                <w:b w:val="0"/>
                <w:sz w:val="18"/>
              </w:rPr>
              <w:t>139</w:t>
            </w:r>
          </w:p>
        </w:tc>
        <w:tc>
          <w:tcPr>
            <w:tcW w:type="dxa" w:w="2120"/>
          </w:tcPr>
          <w:p>
            <w:pPr>
              <w:spacing w:after="0"/>
              <w:jc w:val="right"/>
            </w:pPr>
            <w:r/>
            <w:r>
              <w:rPr>
                <w:b w:val="0"/>
                <w:sz w:val="18"/>
              </w:rPr>
              <w:t>66–225</w:t>
            </w:r>
          </w:p>
        </w:tc>
      </w:tr>
      <w:tr>
        <w:tc>
          <w:tcPr>
            <w:tcW w:type="dxa" w:w="5397"/>
          </w:tcPr>
          <w:p>
            <w:pPr>
              <w:spacing w:after="0"/>
            </w:pPr>
            <w:r/>
            <w:r>
              <w:rPr>
                <w:b w:val="0"/>
                <w:sz w:val="18"/>
              </w:rPr>
              <w:t>Toparlanma (−0,5 m/yıl)</w:t>
            </w:r>
          </w:p>
        </w:tc>
        <w:tc>
          <w:tcPr>
            <w:tcW w:type="dxa" w:w="2120"/>
          </w:tcPr>
          <w:p>
            <w:pPr>
              <w:spacing w:after="0"/>
              <w:jc w:val="right"/>
            </w:pPr>
            <w:r/>
            <w:r>
              <w:rPr>
                <w:b w:val="0"/>
                <w:sz w:val="18"/>
              </w:rPr>
              <w:t>120</w:t>
            </w:r>
          </w:p>
        </w:tc>
        <w:tc>
          <w:tcPr>
            <w:tcW w:type="dxa" w:w="2120"/>
          </w:tcPr>
          <w:p>
            <w:pPr>
              <w:spacing w:after="0"/>
              <w:jc w:val="right"/>
            </w:pPr>
            <w:r/>
            <w:r>
              <w:rPr>
                <w:b w:val="0"/>
                <w:sz w:val="18"/>
              </w:rPr>
              <w:t>51–200</w:t>
            </w:r>
          </w:p>
        </w:tc>
      </w:tr>
    </w:tbl>
    <w:p/>
    <w:tbl>
      <w:tblPr>
        <w:tblW w:type="auto" w:w="0"/>
        <w:tblLook w:firstColumn="1" w:firstRow="1" w:lastColumn="0" w:lastRow="0" w:noHBand="0" w:noVBand="1" w:val="04A0"/>
      </w:tblPr>
      <w:tblGrid>
        <w:gridCol w:w="9638"/>
      </w:tblGrid>
      <w:tr>
        <w:tc>
          <w:tcPr>
            <w:tcW w:type="dxa" w:w="9638"/>
            <w:shd w:val="clear" w:color="auto" w:fill="F1F5F3"/>
          </w:tcPr>
          <w:p>
            <w:r/>
            <w:r>
              <w:rPr>
                <w:sz w:val="19"/>
              </w:rPr>
              <w:t>Senaryolar arasındaki fark, su seviyesi sabitlendiğinde boşluk büyümesinin %30 oranında sürdüğü varsayımına (β) dayanır; bu değer kalibre edilmedi. DSİ kuyu verisiyle güncellenmelidir.</w:t>
            </w:r>
          </w:p>
        </w:tc>
      </w:tr>
    </w:tbl>
    <w:p/>
    <w:p>
      <w:pPr>
        <w:pStyle w:val="Heading1"/>
      </w:pPr>
      <w:r>
        <w:t>5. Yerleşimler</w:t>
      </w:r>
    </w:p>
    <w:p>
      <w:r>
        <w:t>OpenStreetMap'teki 165 yerleşim noktası için 1 km çevrenin en riskli %10'luk dilimine göre risk sınıfı atandı (Çok yüksek: 10, Yüksek: 13, Orta: 61, Düşük: 38, Çok düşük: 43). Sıralama göreli bir önceliklendirmedir; yerinde inceleme yerine geçmez.</w:t>
      </w:r>
    </w:p>
    <w:tbl>
      <w:tblPr>
        <w:tblStyle w:val="TableGrid"/>
        <w:tblW w:type="auto" w:w="0"/>
        <w:jc w:val="center"/>
        <w:tblLayout w:type="fixed"/>
        <w:tblLook w:firstColumn="1" w:firstRow="1" w:lastColumn="0" w:lastRow="0" w:noHBand="0" w:noVBand="1" w:val="04A0"/>
      </w:tblPr>
      <w:tblGrid>
        <w:gridCol w:w="2409"/>
        <w:gridCol w:w="1446"/>
        <w:gridCol w:w="1253"/>
        <w:gridCol w:w="1446"/>
        <w:gridCol w:w="1446"/>
        <w:gridCol w:w="1638"/>
      </w:tblGrid>
      <w:tr>
        <w:tc>
          <w:tcPr>
            <w:tcW w:type="dxa" w:w="2409"/>
            <w:shd w:val="clear" w:color="auto" w:fill="E6EDEA"/>
          </w:tcPr>
          <w:p>
            <w:pPr>
              <w:spacing w:after="0"/>
            </w:pPr>
            <w:r/>
            <w:r>
              <w:rPr>
                <w:b/>
                <w:sz w:val="18"/>
              </w:rPr>
              <w:t>Yerleşim</w:t>
            </w:r>
          </w:p>
        </w:tc>
        <w:tc>
          <w:tcPr>
            <w:tcW w:type="dxa" w:w="1446"/>
            <w:shd w:val="clear" w:color="auto" w:fill="E6EDEA"/>
          </w:tcPr>
          <w:p>
            <w:pPr>
              <w:spacing w:after="0"/>
            </w:pPr>
            <w:r/>
            <w:r>
              <w:rPr>
                <w:b/>
                <w:sz w:val="18"/>
              </w:rPr>
              <w:t>Tür</w:t>
            </w:r>
          </w:p>
        </w:tc>
        <w:tc>
          <w:tcPr>
            <w:tcW w:type="dxa" w:w="1253"/>
            <w:shd w:val="clear" w:color="auto" w:fill="E6EDEA"/>
          </w:tcPr>
          <w:p>
            <w:pPr>
              <w:spacing w:after="0"/>
            </w:pPr>
            <w:r/>
            <w:r>
              <w:rPr>
                <w:b/>
                <w:sz w:val="18"/>
              </w:rPr>
              <w:t>Sınıf</w:t>
            </w:r>
          </w:p>
        </w:tc>
        <w:tc>
          <w:tcPr>
            <w:tcW w:type="dxa" w:w="1446"/>
            <w:shd w:val="clear" w:color="auto" w:fill="E6EDEA"/>
          </w:tcPr>
          <w:p>
            <w:pPr>
              <w:spacing w:after="0"/>
            </w:pPr>
            <w:r/>
            <w:r>
              <w:rPr>
                <w:b/>
                <w:sz w:val="18"/>
              </w:rPr>
              <w:t>En yakın obruk</w:t>
            </w:r>
          </w:p>
        </w:tc>
        <w:tc>
          <w:tcPr>
            <w:tcW w:type="dxa" w:w="1446"/>
            <w:shd w:val="clear" w:color="auto" w:fill="E6EDEA"/>
          </w:tcPr>
          <w:p>
            <w:pPr>
              <w:spacing w:after="0"/>
            </w:pPr>
            <w:r/>
            <w:r>
              <w:rPr>
                <w:b/>
                <w:sz w:val="18"/>
              </w:rPr>
              <w:t>Düşey hız</w:t>
            </w:r>
          </w:p>
        </w:tc>
        <w:tc>
          <w:tcPr>
            <w:tcW w:type="dxa" w:w="1638"/>
            <w:shd w:val="clear" w:color="auto" w:fill="E6EDEA"/>
          </w:tcPr>
          <w:p>
            <w:pPr>
              <w:spacing w:after="0"/>
            </w:pPr>
            <w:r/>
            <w:r>
              <w:rPr>
                <w:b/>
                <w:sz w:val="18"/>
              </w:rPr>
              <w:t>2026–40 beklenen*</w:t>
            </w:r>
          </w:p>
        </w:tc>
      </w:tr>
      <w:tr>
        <w:tc>
          <w:tcPr>
            <w:tcW w:type="dxa" w:w="2409"/>
          </w:tcPr>
          <w:p>
            <w:pPr>
              <w:spacing w:after="0"/>
            </w:pPr>
            <w:r/>
            <w:r>
              <w:rPr>
                <w:b w:val="0"/>
                <w:sz w:val="18"/>
              </w:rPr>
              <w:t>Seyithacı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0,23 km</w:t>
            </w:r>
          </w:p>
        </w:tc>
        <w:tc>
          <w:tcPr>
            <w:tcW w:type="dxa" w:w="1446"/>
          </w:tcPr>
          <w:p>
            <w:pPr>
              <w:spacing w:after="0"/>
              <w:jc w:val="right"/>
            </w:pPr>
            <w:r/>
            <w:r>
              <w:rPr>
                <w:b w:val="0"/>
                <w:sz w:val="18"/>
              </w:rPr>
              <w:t>−32 mm/yıl</w:t>
            </w:r>
          </w:p>
        </w:tc>
        <w:tc>
          <w:tcPr>
            <w:tcW w:type="dxa" w:w="1638"/>
          </w:tcPr>
          <w:p>
            <w:pPr>
              <w:spacing w:after="0"/>
              <w:jc w:val="right"/>
            </w:pPr>
            <w:r/>
            <w:r>
              <w:rPr>
                <w:b w:val="0"/>
                <w:sz w:val="18"/>
              </w:rPr>
              <w:t>2,0 / 0,6</w:t>
            </w:r>
          </w:p>
        </w:tc>
      </w:tr>
      <w:tr>
        <w:tc>
          <w:tcPr>
            <w:tcW w:type="dxa" w:w="2409"/>
          </w:tcPr>
          <w:p>
            <w:pPr>
              <w:spacing w:after="0"/>
            </w:pPr>
            <w:r/>
            <w:r>
              <w:rPr>
                <w:b w:val="0"/>
                <w:sz w:val="18"/>
              </w:rPr>
              <w:t>Çıralı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0,57 km</w:t>
            </w:r>
          </w:p>
        </w:tc>
        <w:tc>
          <w:tcPr>
            <w:tcW w:type="dxa" w:w="1446"/>
          </w:tcPr>
          <w:p>
            <w:pPr>
              <w:spacing w:after="0"/>
              <w:jc w:val="right"/>
            </w:pPr>
            <w:r/>
            <w:r>
              <w:rPr>
                <w:b w:val="0"/>
                <w:sz w:val="18"/>
              </w:rPr>
              <w:t>−22 mm/yıl</w:t>
            </w:r>
          </w:p>
        </w:tc>
        <w:tc>
          <w:tcPr>
            <w:tcW w:type="dxa" w:w="1638"/>
          </w:tcPr>
          <w:p>
            <w:pPr>
              <w:spacing w:after="0"/>
              <w:jc w:val="right"/>
            </w:pPr>
            <w:r/>
            <w:r>
              <w:rPr>
                <w:b w:val="0"/>
                <w:sz w:val="18"/>
              </w:rPr>
              <w:t>1,9 / 0,6</w:t>
            </w:r>
          </w:p>
        </w:tc>
      </w:tr>
      <w:tr>
        <w:tc>
          <w:tcPr>
            <w:tcW w:type="dxa" w:w="2409"/>
          </w:tcPr>
          <w:p>
            <w:pPr>
              <w:spacing w:after="0"/>
            </w:pPr>
            <w:r/>
            <w:r>
              <w:rPr>
                <w:b w:val="0"/>
                <w:sz w:val="18"/>
              </w:rPr>
              <w:t>Küçükkarakuyu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0,76 km</w:t>
            </w:r>
          </w:p>
        </w:tc>
        <w:tc>
          <w:tcPr>
            <w:tcW w:type="dxa" w:w="1446"/>
          </w:tcPr>
          <w:p>
            <w:pPr>
              <w:spacing w:after="0"/>
              <w:jc w:val="right"/>
            </w:pPr>
            <w:r/>
            <w:r>
              <w:rPr>
                <w:b w:val="0"/>
                <w:sz w:val="18"/>
              </w:rPr>
              <w:t>−48 mm/yıl</w:t>
            </w:r>
          </w:p>
        </w:tc>
        <w:tc>
          <w:tcPr>
            <w:tcW w:type="dxa" w:w="1638"/>
          </w:tcPr>
          <w:p>
            <w:pPr>
              <w:spacing w:after="0"/>
              <w:jc w:val="right"/>
            </w:pPr>
            <w:r/>
            <w:r>
              <w:rPr>
                <w:b w:val="0"/>
                <w:sz w:val="18"/>
              </w:rPr>
              <w:t>1,9 / 0,6</w:t>
            </w:r>
          </w:p>
        </w:tc>
      </w:tr>
      <w:tr>
        <w:tc>
          <w:tcPr>
            <w:tcW w:type="dxa" w:w="2409"/>
          </w:tcPr>
          <w:p>
            <w:pPr>
              <w:spacing w:after="0"/>
            </w:pPr>
            <w:r/>
            <w:r>
              <w:rPr>
                <w:b w:val="0"/>
                <w:sz w:val="18"/>
              </w:rPr>
              <w:t>Büyükkarakuyu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0,69 km</w:t>
            </w:r>
          </w:p>
        </w:tc>
        <w:tc>
          <w:tcPr>
            <w:tcW w:type="dxa" w:w="1446"/>
          </w:tcPr>
          <w:p>
            <w:pPr>
              <w:spacing w:after="0"/>
              <w:jc w:val="right"/>
            </w:pPr>
            <w:r/>
            <w:r>
              <w:rPr>
                <w:b w:val="0"/>
                <w:sz w:val="18"/>
              </w:rPr>
              <w:t>−47 mm/yıl</w:t>
            </w:r>
          </w:p>
        </w:tc>
        <w:tc>
          <w:tcPr>
            <w:tcW w:type="dxa" w:w="1638"/>
          </w:tcPr>
          <w:p>
            <w:pPr>
              <w:spacing w:after="0"/>
              <w:jc w:val="right"/>
            </w:pPr>
            <w:r/>
            <w:r>
              <w:rPr>
                <w:b w:val="0"/>
                <w:sz w:val="18"/>
              </w:rPr>
              <w:t>1,8 / 0,6</w:t>
            </w:r>
          </w:p>
        </w:tc>
      </w:tr>
      <w:tr>
        <w:tc>
          <w:tcPr>
            <w:tcW w:type="dxa" w:w="2409"/>
          </w:tcPr>
          <w:p>
            <w:pPr>
              <w:spacing w:after="0"/>
            </w:pPr>
            <w:r/>
            <w:r>
              <w:rPr>
                <w:b w:val="0"/>
                <w:sz w:val="18"/>
              </w:rPr>
              <w:t>Kanlıarkaç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0,83 km</w:t>
            </w:r>
          </w:p>
        </w:tc>
        <w:tc>
          <w:tcPr>
            <w:tcW w:type="dxa" w:w="1446"/>
          </w:tcPr>
          <w:p>
            <w:pPr>
              <w:spacing w:after="0"/>
              <w:jc w:val="right"/>
            </w:pPr>
            <w:r/>
            <w:r>
              <w:rPr>
                <w:b w:val="0"/>
                <w:sz w:val="18"/>
              </w:rPr>
              <w:t>−18 mm/yıl</w:t>
            </w:r>
          </w:p>
        </w:tc>
        <w:tc>
          <w:tcPr>
            <w:tcW w:type="dxa" w:w="1638"/>
          </w:tcPr>
          <w:p>
            <w:pPr>
              <w:spacing w:after="0"/>
              <w:jc w:val="right"/>
            </w:pPr>
            <w:r/>
            <w:r>
              <w:rPr>
                <w:b w:val="0"/>
                <w:sz w:val="18"/>
              </w:rPr>
              <w:t>1,8 / 0,6</w:t>
            </w:r>
          </w:p>
        </w:tc>
      </w:tr>
      <w:tr>
        <w:tc>
          <w:tcPr>
            <w:tcW w:type="dxa" w:w="2409"/>
          </w:tcPr>
          <w:p>
            <w:pPr>
              <w:spacing w:after="0"/>
            </w:pPr>
            <w:r/>
            <w:r>
              <w:rPr>
                <w:b w:val="0"/>
                <w:sz w:val="18"/>
              </w:rPr>
              <w:t>İnoba</w:t>
            </w:r>
          </w:p>
        </w:tc>
        <w:tc>
          <w:tcPr>
            <w:tcW w:type="dxa" w:w="1446"/>
          </w:tcPr>
          <w:p>
            <w:pPr>
              <w:spacing w:after="0"/>
            </w:pPr>
            <w:r/>
            <w:r>
              <w:rPr>
                <w:b w:val="0"/>
                <w:sz w:val="18"/>
              </w:rPr>
              <w:t>Mahalle</w:t>
            </w:r>
          </w:p>
        </w:tc>
        <w:tc>
          <w:tcPr>
            <w:tcW w:type="dxa" w:w="1253"/>
          </w:tcPr>
          <w:p>
            <w:pPr>
              <w:spacing w:after="0"/>
            </w:pPr>
            <w:r/>
            <w:r>
              <w:rPr>
                <w:b w:val="0"/>
                <w:sz w:val="18"/>
              </w:rPr>
              <w:t>Çok yüksek</w:t>
            </w:r>
          </w:p>
        </w:tc>
        <w:tc>
          <w:tcPr>
            <w:tcW w:type="dxa" w:w="1446"/>
          </w:tcPr>
          <w:p>
            <w:pPr>
              <w:spacing w:after="0"/>
              <w:jc w:val="right"/>
            </w:pPr>
            <w:r/>
            <w:r>
              <w:rPr>
                <w:b w:val="0"/>
                <w:sz w:val="18"/>
              </w:rPr>
              <w:t>0,22 km</w:t>
            </w:r>
          </w:p>
        </w:tc>
        <w:tc>
          <w:tcPr>
            <w:tcW w:type="dxa" w:w="1446"/>
          </w:tcPr>
          <w:p>
            <w:pPr>
              <w:spacing w:after="0"/>
              <w:jc w:val="right"/>
            </w:pPr>
            <w:r/>
            <w:r>
              <w:rPr>
                <w:b w:val="0"/>
                <w:sz w:val="18"/>
              </w:rPr>
              <w:t>−74 mm/yıl</w:t>
            </w:r>
          </w:p>
        </w:tc>
        <w:tc>
          <w:tcPr>
            <w:tcW w:type="dxa" w:w="1638"/>
          </w:tcPr>
          <w:p>
            <w:pPr>
              <w:spacing w:after="0"/>
              <w:jc w:val="right"/>
            </w:pPr>
            <w:r/>
            <w:r>
              <w:rPr>
                <w:b w:val="0"/>
                <w:sz w:val="18"/>
              </w:rPr>
              <w:t>1,9 / 0,6</w:t>
            </w:r>
          </w:p>
        </w:tc>
      </w:tr>
      <w:tr>
        <w:tc>
          <w:tcPr>
            <w:tcW w:type="dxa" w:w="2409"/>
          </w:tcPr>
          <w:p>
            <w:pPr>
              <w:spacing w:after="0"/>
            </w:pPr>
            <w:r/>
            <w:r>
              <w:rPr>
                <w:b w:val="0"/>
                <w:sz w:val="18"/>
              </w:rPr>
              <w:t>Akvıran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1,01 km</w:t>
            </w:r>
          </w:p>
        </w:tc>
        <w:tc>
          <w:tcPr>
            <w:tcW w:type="dxa" w:w="1446"/>
          </w:tcPr>
          <w:p>
            <w:pPr>
              <w:spacing w:after="0"/>
              <w:jc w:val="right"/>
            </w:pPr>
            <w:r/>
            <w:r>
              <w:rPr>
                <w:b w:val="0"/>
                <w:sz w:val="18"/>
              </w:rPr>
              <w:t>−20 mm/yıl</w:t>
            </w:r>
          </w:p>
        </w:tc>
        <w:tc>
          <w:tcPr>
            <w:tcW w:type="dxa" w:w="1638"/>
          </w:tcPr>
          <w:p>
            <w:pPr>
              <w:spacing w:after="0"/>
              <w:jc w:val="right"/>
            </w:pPr>
            <w:r/>
            <w:r>
              <w:rPr>
                <w:b w:val="0"/>
                <w:sz w:val="18"/>
              </w:rPr>
              <w:t>1,6 / 0,5</w:t>
            </w:r>
          </w:p>
        </w:tc>
      </w:tr>
      <w:tr>
        <w:tc>
          <w:tcPr>
            <w:tcW w:type="dxa" w:w="2409"/>
          </w:tcPr>
          <w:p>
            <w:pPr>
              <w:spacing w:after="0"/>
            </w:pPr>
            <w:r/>
            <w:r>
              <w:rPr>
                <w:b w:val="0"/>
                <w:sz w:val="18"/>
              </w:rPr>
              <w:t>Menekirsesi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1,35 km</w:t>
            </w:r>
          </w:p>
        </w:tc>
        <w:tc>
          <w:tcPr>
            <w:tcW w:type="dxa" w:w="1446"/>
          </w:tcPr>
          <w:p>
            <w:pPr>
              <w:spacing w:after="0"/>
              <w:jc w:val="right"/>
            </w:pPr>
            <w:r/>
            <w:r>
              <w:rPr>
                <w:b w:val="0"/>
                <w:sz w:val="18"/>
              </w:rPr>
              <w:t>−21 mm/yıl</w:t>
            </w:r>
          </w:p>
        </w:tc>
        <w:tc>
          <w:tcPr>
            <w:tcW w:type="dxa" w:w="1638"/>
          </w:tcPr>
          <w:p>
            <w:pPr>
              <w:spacing w:after="0"/>
              <w:jc w:val="right"/>
            </w:pPr>
            <w:r/>
            <w:r>
              <w:rPr>
                <w:b w:val="0"/>
                <w:sz w:val="18"/>
              </w:rPr>
              <w:t>1,8 / 0,6</w:t>
            </w:r>
          </w:p>
        </w:tc>
      </w:tr>
      <w:tr>
        <w:tc>
          <w:tcPr>
            <w:tcW w:type="dxa" w:w="2409"/>
          </w:tcPr>
          <w:p>
            <w:pPr>
              <w:spacing w:after="0"/>
            </w:pPr>
            <w:r/>
            <w:r>
              <w:rPr>
                <w:b w:val="0"/>
                <w:sz w:val="18"/>
              </w:rPr>
              <w:t>yayla</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1,03 km</w:t>
            </w:r>
          </w:p>
        </w:tc>
        <w:tc>
          <w:tcPr>
            <w:tcW w:type="dxa" w:w="1446"/>
          </w:tcPr>
          <w:p>
            <w:pPr>
              <w:spacing w:after="0"/>
              <w:jc w:val="right"/>
            </w:pPr>
            <w:r/>
            <w:r>
              <w:rPr>
                <w:b w:val="0"/>
                <w:sz w:val="18"/>
              </w:rPr>
              <w:t>−19 mm/yıl</w:t>
            </w:r>
          </w:p>
        </w:tc>
        <w:tc>
          <w:tcPr>
            <w:tcW w:type="dxa" w:w="1638"/>
          </w:tcPr>
          <w:p>
            <w:pPr>
              <w:spacing w:after="0"/>
              <w:jc w:val="right"/>
            </w:pPr>
            <w:r/>
            <w:r>
              <w:rPr>
                <w:b w:val="0"/>
                <w:sz w:val="18"/>
              </w:rPr>
              <w:t>1,7 / 0,5</w:t>
            </w:r>
          </w:p>
        </w:tc>
      </w:tr>
      <w:tr>
        <w:tc>
          <w:tcPr>
            <w:tcW w:type="dxa" w:w="2409"/>
          </w:tcPr>
          <w:p>
            <w:pPr>
              <w:spacing w:after="0"/>
            </w:pPr>
            <w:r/>
            <w:r>
              <w:rPr>
                <w:b w:val="0"/>
                <w:sz w:val="18"/>
              </w:rPr>
              <w:t>Sekizli Yaylası</w:t>
            </w:r>
          </w:p>
        </w:tc>
        <w:tc>
          <w:tcPr>
            <w:tcW w:type="dxa" w:w="1446"/>
          </w:tcPr>
          <w:p>
            <w:pPr>
              <w:spacing w:after="0"/>
            </w:pPr>
            <w:r/>
            <w:r>
              <w:rPr>
                <w:b w:val="0"/>
                <w:sz w:val="18"/>
              </w:rPr>
              <w:t>Mezra/yayla</w:t>
            </w:r>
          </w:p>
        </w:tc>
        <w:tc>
          <w:tcPr>
            <w:tcW w:type="dxa" w:w="1253"/>
          </w:tcPr>
          <w:p>
            <w:pPr>
              <w:spacing w:after="0"/>
            </w:pPr>
            <w:r/>
            <w:r>
              <w:rPr>
                <w:b w:val="0"/>
                <w:sz w:val="18"/>
              </w:rPr>
              <w:t>Çok yüksek</w:t>
            </w:r>
          </w:p>
        </w:tc>
        <w:tc>
          <w:tcPr>
            <w:tcW w:type="dxa" w:w="1446"/>
          </w:tcPr>
          <w:p>
            <w:pPr>
              <w:spacing w:after="0"/>
              <w:jc w:val="right"/>
            </w:pPr>
            <w:r/>
            <w:r>
              <w:rPr>
                <w:b w:val="0"/>
                <w:sz w:val="18"/>
              </w:rPr>
              <w:t>0,67 km</w:t>
            </w:r>
          </w:p>
        </w:tc>
        <w:tc>
          <w:tcPr>
            <w:tcW w:type="dxa" w:w="1446"/>
          </w:tcPr>
          <w:p>
            <w:pPr>
              <w:spacing w:after="0"/>
              <w:jc w:val="right"/>
            </w:pPr>
            <w:r/>
            <w:r>
              <w:rPr>
                <w:b w:val="0"/>
                <w:sz w:val="18"/>
              </w:rPr>
              <w:t>−18 mm/yıl</w:t>
            </w:r>
          </w:p>
        </w:tc>
        <w:tc>
          <w:tcPr>
            <w:tcW w:type="dxa" w:w="1638"/>
          </w:tcPr>
          <w:p>
            <w:pPr>
              <w:spacing w:after="0"/>
              <w:jc w:val="right"/>
            </w:pPr>
            <w:r/>
            <w:r>
              <w:rPr>
                <w:b w:val="0"/>
                <w:sz w:val="18"/>
              </w:rPr>
              <w:t>1,9 / 0,6</w:t>
            </w:r>
          </w:p>
        </w:tc>
      </w:tr>
      <w:tr>
        <w:tc>
          <w:tcPr>
            <w:tcW w:type="dxa" w:w="2409"/>
          </w:tcPr>
          <w:p>
            <w:pPr>
              <w:spacing w:after="0"/>
            </w:pPr>
            <w:r/>
            <w:r>
              <w:rPr>
                <w:b w:val="0"/>
                <w:sz w:val="18"/>
              </w:rPr>
              <w:t>Kolca Yaylası</w:t>
            </w:r>
          </w:p>
        </w:tc>
        <w:tc>
          <w:tcPr>
            <w:tcW w:type="dxa" w:w="1446"/>
          </w:tcPr>
          <w:p>
            <w:pPr>
              <w:spacing w:after="0"/>
            </w:pPr>
            <w:r/>
            <w:r>
              <w:rPr>
                <w:b w:val="0"/>
                <w:sz w:val="18"/>
              </w:rPr>
              <w:t>Mezra/yayla</w:t>
            </w:r>
          </w:p>
        </w:tc>
        <w:tc>
          <w:tcPr>
            <w:tcW w:type="dxa" w:w="1253"/>
          </w:tcPr>
          <w:p>
            <w:pPr>
              <w:spacing w:after="0"/>
            </w:pPr>
            <w:r/>
            <w:r>
              <w:rPr>
                <w:b w:val="0"/>
                <w:sz w:val="18"/>
              </w:rPr>
              <w:t>Yüksek</w:t>
            </w:r>
          </w:p>
        </w:tc>
        <w:tc>
          <w:tcPr>
            <w:tcW w:type="dxa" w:w="1446"/>
          </w:tcPr>
          <w:p>
            <w:pPr>
              <w:spacing w:after="0"/>
              <w:jc w:val="right"/>
            </w:pPr>
            <w:r/>
            <w:r>
              <w:rPr>
                <w:b w:val="0"/>
                <w:sz w:val="18"/>
              </w:rPr>
              <w:t>1,23 km</w:t>
            </w:r>
          </w:p>
        </w:tc>
        <w:tc>
          <w:tcPr>
            <w:tcW w:type="dxa" w:w="1446"/>
          </w:tcPr>
          <w:p>
            <w:pPr>
              <w:spacing w:after="0"/>
              <w:jc w:val="right"/>
            </w:pPr>
            <w:r/>
            <w:r>
              <w:rPr>
                <w:b w:val="0"/>
                <w:sz w:val="18"/>
              </w:rPr>
              <w:t>−19 mm/yıl</w:t>
            </w:r>
          </w:p>
        </w:tc>
        <w:tc>
          <w:tcPr>
            <w:tcW w:type="dxa" w:w="1638"/>
          </w:tcPr>
          <w:p>
            <w:pPr>
              <w:spacing w:after="0"/>
              <w:jc w:val="right"/>
            </w:pPr>
            <w:r/>
            <w:r>
              <w:rPr>
                <w:b w:val="0"/>
                <w:sz w:val="18"/>
              </w:rPr>
              <w:t>1,6 / 0,5</w:t>
            </w:r>
          </w:p>
        </w:tc>
      </w:tr>
      <w:tr>
        <w:tc>
          <w:tcPr>
            <w:tcW w:type="dxa" w:w="2409"/>
          </w:tcPr>
          <w:p>
            <w:pPr>
              <w:spacing w:after="0"/>
            </w:pPr>
            <w:r/>
            <w:r>
              <w:rPr>
                <w:b w:val="0"/>
                <w:sz w:val="18"/>
              </w:rPr>
              <w:t>K. Sekizli Yaylası</w:t>
            </w:r>
          </w:p>
        </w:tc>
        <w:tc>
          <w:tcPr>
            <w:tcW w:type="dxa" w:w="1446"/>
          </w:tcPr>
          <w:p>
            <w:pPr>
              <w:spacing w:after="0"/>
            </w:pPr>
            <w:r/>
            <w:r>
              <w:rPr>
                <w:b w:val="0"/>
                <w:sz w:val="18"/>
              </w:rPr>
              <w:t>Mezra/yayla</w:t>
            </w:r>
          </w:p>
        </w:tc>
        <w:tc>
          <w:tcPr>
            <w:tcW w:type="dxa" w:w="1253"/>
          </w:tcPr>
          <w:p>
            <w:pPr>
              <w:spacing w:after="0"/>
            </w:pPr>
            <w:r/>
            <w:r>
              <w:rPr>
                <w:b w:val="0"/>
                <w:sz w:val="18"/>
              </w:rPr>
              <w:t>Yüksek</w:t>
            </w:r>
          </w:p>
        </w:tc>
        <w:tc>
          <w:tcPr>
            <w:tcW w:type="dxa" w:w="1446"/>
          </w:tcPr>
          <w:p>
            <w:pPr>
              <w:spacing w:after="0"/>
              <w:jc w:val="right"/>
            </w:pPr>
            <w:r/>
            <w:r>
              <w:rPr>
                <w:b w:val="0"/>
                <w:sz w:val="18"/>
              </w:rPr>
              <w:t>1,02 km</w:t>
            </w:r>
          </w:p>
        </w:tc>
        <w:tc>
          <w:tcPr>
            <w:tcW w:type="dxa" w:w="1446"/>
          </w:tcPr>
          <w:p>
            <w:pPr>
              <w:spacing w:after="0"/>
              <w:jc w:val="right"/>
            </w:pPr>
            <w:r/>
            <w:r>
              <w:rPr>
                <w:b w:val="0"/>
                <w:sz w:val="18"/>
              </w:rPr>
              <w:t>−19 mm/yıl</w:t>
            </w:r>
          </w:p>
        </w:tc>
        <w:tc>
          <w:tcPr>
            <w:tcW w:type="dxa" w:w="1638"/>
          </w:tcPr>
          <w:p>
            <w:pPr>
              <w:spacing w:after="0"/>
              <w:jc w:val="right"/>
            </w:pPr>
            <w:r/>
            <w:r>
              <w:rPr>
                <w:b w:val="0"/>
                <w:sz w:val="18"/>
              </w:rPr>
              <w:t>1,8 / 0,6</w:t>
            </w:r>
          </w:p>
        </w:tc>
      </w:tr>
      <w:tr>
        <w:tc>
          <w:tcPr>
            <w:tcW w:type="dxa" w:w="2409"/>
          </w:tcPr>
          <w:p>
            <w:pPr>
              <w:spacing w:after="0"/>
            </w:pPr>
            <w:r/>
            <w:r>
              <w:rPr>
                <w:b w:val="0"/>
                <w:sz w:val="18"/>
              </w:rPr>
              <w:t>Kurtbasan Yaylası</w:t>
            </w:r>
          </w:p>
        </w:tc>
        <w:tc>
          <w:tcPr>
            <w:tcW w:type="dxa" w:w="1446"/>
          </w:tcPr>
          <w:p>
            <w:pPr>
              <w:spacing w:after="0"/>
            </w:pPr>
            <w:r/>
            <w:r>
              <w:rPr>
                <w:b w:val="0"/>
                <w:sz w:val="18"/>
              </w:rPr>
              <w:t>Mezra/yayla</w:t>
            </w:r>
          </w:p>
        </w:tc>
        <w:tc>
          <w:tcPr>
            <w:tcW w:type="dxa" w:w="1253"/>
          </w:tcPr>
          <w:p>
            <w:pPr>
              <w:spacing w:after="0"/>
            </w:pPr>
            <w:r/>
            <w:r>
              <w:rPr>
                <w:b w:val="0"/>
                <w:sz w:val="18"/>
              </w:rPr>
              <w:t>Yüksek</w:t>
            </w:r>
          </w:p>
        </w:tc>
        <w:tc>
          <w:tcPr>
            <w:tcW w:type="dxa" w:w="1446"/>
          </w:tcPr>
          <w:p>
            <w:pPr>
              <w:spacing w:after="0"/>
              <w:jc w:val="right"/>
            </w:pPr>
            <w:r/>
            <w:r>
              <w:rPr>
                <w:b w:val="0"/>
                <w:sz w:val="18"/>
              </w:rPr>
              <w:t>1,47 km</w:t>
            </w:r>
          </w:p>
        </w:tc>
        <w:tc>
          <w:tcPr>
            <w:tcW w:type="dxa" w:w="1446"/>
          </w:tcPr>
          <w:p>
            <w:pPr>
              <w:spacing w:after="0"/>
              <w:jc w:val="right"/>
            </w:pPr>
            <w:r/>
            <w:r>
              <w:rPr>
                <w:b w:val="0"/>
                <w:sz w:val="18"/>
              </w:rPr>
              <w:t>−14 mm/yıl</w:t>
            </w:r>
          </w:p>
        </w:tc>
        <w:tc>
          <w:tcPr>
            <w:tcW w:type="dxa" w:w="1638"/>
          </w:tcPr>
          <w:p>
            <w:pPr>
              <w:spacing w:after="0"/>
              <w:jc w:val="right"/>
            </w:pPr>
            <w:r/>
            <w:r>
              <w:rPr>
                <w:b w:val="0"/>
                <w:sz w:val="18"/>
              </w:rPr>
              <w:t>1,7 / 0,5</w:t>
            </w:r>
          </w:p>
        </w:tc>
      </w:tr>
      <w:tr>
        <w:tc>
          <w:tcPr>
            <w:tcW w:type="dxa" w:w="2409"/>
          </w:tcPr>
          <w:p>
            <w:pPr>
              <w:spacing w:after="0"/>
            </w:pPr>
            <w:r/>
            <w:r>
              <w:rPr>
                <w:b w:val="0"/>
                <w:sz w:val="18"/>
              </w:rPr>
              <w:t>Sancaklar Yaylası</w:t>
            </w:r>
          </w:p>
        </w:tc>
        <w:tc>
          <w:tcPr>
            <w:tcW w:type="dxa" w:w="1446"/>
          </w:tcPr>
          <w:p>
            <w:pPr>
              <w:spacing w:after="0"/>
            </w:pPr>
            <w:r/>
            <w:r>
              <w:rPr>
                <w:b w:val="0"/>
                <w:sz w:val="18"/>
              </w:rPr>
              <w:t>Mezra/yayla</w:t>
            </w:r>
          </w:p>
        </w:tc>
        <w:tc>
          <w:tcPr>
            <w:tcW w:type="dxa" w:w="1253"/>
          </w:tcPr>
          <w:p>
            <w:pPr>
              <w:spacing w:after="0"/>
            </w:pPr>
            <w:r/>
            <w:r>
              <w:rPr>
                <w:b w:val="0"/>
                <w:sz w:val="18"/>
              </w:rPr>
              <w:t>Yüksek</w:t>
            </w:r>
          </w:p>
        </w:tc>
        <w:tc>
          <w:tcPr>
            <w:tcW w:type="dxa" w:w="1446"/>
          </w:tcPr>
          <w:p>
            <w:pPr>
              <w:spacing w:after="0"/>
              <w:jc w:val="right"/>
            </w:pPr>
            <w:r/>
            <w:r>
              <w:rPr>
                <w:b w:val="0"/>
                <w:sz w:val="18"/>
              </w:rPr>
              <w:t>1,60 km</w:t>
            </w:r>
          </w:p>
        </w:tc>
        <w:tc>
          <w:tcPr>
            <w:tcW w:type="dxa" w:w="1446"/>
          </w:tcPr>
          <w:p>
            <w:pPr>
              <w:spacing w:after="0"/>
              <w:jc w:val="right"/>
            </w:pPr>
            <w:r/>
            <w:r>
              <w:rPr>
                <w:b w:val="0"/>
                <w:sz w:val="18"/>
              </w:rPr>
              <w:t>−12 mm/yıl</w:t>
            </w:r>
          </w:p>
        </w:tc>
        <w:tc>
          <w:tcPr>
            <w:tcW w:type="dxa" w:w="1638"/>
          </w:tcPr>
          <w:p>
            <w:pPr>
              <w:spacing w:after="0"/>
              <w:jc w:val="right"/>
            </w:pPr>
            <w:r/>
            <w:r>
              <w:rPr>
                <w:b w:val="0"/>
                <w:sz w:val="18"/>
              </w:rPr>
              <w:t>1,7 / 0,5</w:t>
            </w:r>
          </w:p>
        </w:tc>
      </w:tr>
      <w:tr>
        <w:tc>
          <w:tcPr>
            <w:tcW w:type="dxa" w:w="2409"/>
          </w:tcPr>
          <w:p>
            <w:pPr>
              <w:spacing w:after="0"/>
            </w:pPr>
            <w:r/>
            <w:r>
              <w:rPr>
                <w:b w:val="0"/>
                <w:sz w:val="18"/>
              </w:rPr>
              <w:t>Eşeli Yaylası</w:t>
            </w:r>
          </w:p>
        </w:tc>
        <w:tc>
          <w:tcPr>
            <w:tcW w:type="dxa" w:w="1446"/>
          </w:tcPr>
          <w:p>
            <w:pPr>
              <w:spacing w:after="0"/>
            </w:pPr>
            <w:r/>
            <w:r>
              <w:rPr>
                <w:b w:val="0"/>
                <w:sz w:val="18"/>
              </w:rPr>
              <w:t>Mezra/yayla</w:t>
            </w:r>
          </w:p>
        </w:tc>
        <w:tc>
          <w:tcPr>
            <w:tcW w:type="dxa" w:w="1253"/>
          </w:tcPr>
          <w:p>
            <w:pPr>
              <w:spacing w:after="0"/>
            </w:pPr>
            <w:r/>
            <w:r>
              <w:rPr>
                <w:b w:val="0"/>
                <w:sz w:val="18"/>
              </w:rPr>
              <w:t>Yüksek</w:t>
            </w:r>
          </w:p>
        </w:tc>
        <w:tc>
          <w:tcPr>
            <w:tcW w:type="dxa" w:w="1446"/>
          </w:tcPr>
          <w:p>
            <w:pPr>
              <w:spacing w:after="0"/>
              <w:jc w:val="right"/>
            </w:pPr>
            <w:r/>
            <w:r>
              <w:rPr>
                <w:b w:val="0"/>
                <w:sz w:val="18"/>
              </w:rPr>
              <w:t>1,67 km</w:t>
            </w:r>
          </w:p>
        </w:tc>
        <w:tc>
          <w:tcPr>
            <w:tcW w:type="dxa" w:w="1446"/>
          </w:tcPr>
          <w:p>
            <w:pPr>
              <w:spacing w:after="0"/>
              <w:jc w:val="right"/>
            </w:pPr>
            <w:r/>
            <w:r>
              <w:rPr>
                <w:b w:val="0"/>
                <w:sz w:val="18"/>
              </w:rPr>
              <w:t>−16 mm/yıl</w:t>
            </w:r>
          </w:p>
        </w:tc>
        <w:tc>
          <w:tcPr>
            <w:tcW w:type="dxa" w:w="1638"/>
          </w:tcPr>
          <w:p>
            <w:pPr>
              <w:spacing w:after="0"/>
              <w:jc w:val="right"/>
            </w:pPr>
            <w:r/>
            <w:r>
              <w:rPr>
                <w:b w:val="0"/>
                <w:sz w:val="18"/>
              </w:rPr>
              <w:t>1,7 / 0,5</w:t>
            </w:r>
          </w:p>
        </w:tc>
      </w:tr>
    </w:tbl>
    <w:p/>
    <w:p>
      <w:r>
        <w:t>* 1 km çevrede 2026–2040 arasında beklenen obruk sayısı: mevcut eğilim / su düşüşü durursa.</w:t>
      </w:r>
    </w:p>
    <w:p>
      <w:pPr>
        <w:pStyle w:val="Heading2"/>
      </w:pPr>
      <w:r>
        <w:t>Örnek yorum kartı: Seyithacı Yaylası</w:t>
      </w:r>
    </w:p>
    <w:p>
      <w:r>
        <w:t>Çok yüksek obruk duyarlılığı. Bu nokta, çalışma alanının en riskli %1 dilimi içinde.</w:t>
      </w:r>
    </w:p>
    <w:p>
      <w:pPr>
        <w:pStyle w:val="ListBullet"/>
      </w:pPr>
      <w:r>
        <w:t>Obruk mühendisliği · yakınlık: En yakın bilinen obruk yaklaşık 233 m uzakta. Obruklar kümeler hâlinde oluşur: Konya'da yeni obrukların yaklaşık üçte ikisi eski bir obruğun 500 m çevresinde açılmıştır.</w:t>
      </w:r>
    </w:p>
    <w:p>
      <w:pPr>
        <w:pStyle w:val="ListBullet"/>
      </w:pPr>
      <w:r>
        <w:t>Jeodezi · yer hareketi: Zemin yılda yaklaşık 32 mm çöküyor (uydu radarı, 2022–2024). Bu, yeraltı suyunun belirgin biçimde azaldığı bir alanın işaretidir; geniş alanlı oturma kendisi obruk değildir ama aynı nedene bağlıdır.</w:t>
      </w:r>
    </w:p>
    <w:p>
      <w:pPr>
        <w:pStyle w:val="ListBullet"/>
      </w:pPr>
      <w:r>
        <w:t>Jeodezi · farklı oturma: Komşu noktalar arasındaki çökme farkı, yaklaşık 22 yılda yapılar için kabul edilen çatlak eşiğine (1/500 eğim farkı) ulaşacak hızda. Bu, binalarda zamanla çatlak oluşabileceğini gösterir; 100 m ölçekli bir tahmindir.</w:t>
      </w:r>
    </w:p>
    <w:p>
      <w:pPr>
        <w:pStyle w:val="ListBullet"/>
      </w:pPr>
      <w:r>
        <w:t>Hidrojeoloji · yeraltı suyu baskısı: 3 km çevredeki arazide yaz sulama oranı yaklaşık %17; yeraltı suyu çekim baskısı orta düzeyde. Bu kesimde yeşil (sulanan) alan 2017'den bu yana artış eğiliminde.</w:t>
      </w:r>
    </w:p>
    <w:p>
      <w:pPr>
        <w:pStyle w:val="ListBullet"/>
      </w:pPr>
      <w:r>
        <w:t>Topoğrafya · kapalı çukur: Yükseklik modelinde burada yaklaşık 8,9 m derinliğinde kapalı bir çukur görünüyor; eski bir obruk ya da yavaş bir çöküntü olabilir (yerinde bakılmalı).</w:t>
      </w:r>
    </w:p>
    <w:p>
      <w:pPr>
        <w:pStyle w:val="ListBullet"/>
      </w:pPr>
      <w:r>
        <w:t>Model · olasılık: Model, bu noktanın 1 km çevresinde önümüzdeki 1 yıl içinde en az bir obruk açılma olasılığını yaklaşık %13,0 olarak tahmin ediyor (göreli gösterge; belirsizliği yüksek).</w:t>
      </w:r>
    </w:p>
    <w:p>
      <w:r>
        <w:t>Ne yapmalı?</w:t>
      </w:r>
    </w:p>
    <w:p>
      <w:pPr>
        <w:pStyle w:val="ListBullet"/>
      </w:pPr>
      <w:r>
        <w:t>Bu hücre bilinen obruk kümelerinin içinde veya hemen yanında: yeni yapılaşma ve yeni kuyu açılması uzman değerlendirmesi olmadan yapılmamalı.</w:t>
      </w:r>
    </w:p>
    <w:p>
      <w:pPr>
        <w:pStyle w:val="ListBullet"/>
      </w:pPr>
      <w:r>
        <w:t>Yollar, sulama hatları ve hayvan barınakları için düzenli gözle kontrol ve yerel izleme önerilir.</w:t>
      </w:r>
    </w:p>
    <w:p>
      <w:pPr>
        <w:pStyle w:val="ListBullet"/>
      </w:pPr>
      <w:r>
        <w:t>Belediye/AFAD ile paylaşılmak üzere değişiklikleri fotoğraf ve konumla kaydedin.</w:t>
      </w:r>
    </w:p>
    <w:p>
      <w:pPr>
        <w:pStyle w:val="ListBullet"/>
      </w:pPr>
      <w:r>
        <w:t>Bilinen bir obruğun kenarına yaklaşmayın: obruk kenarları alttan oyulmuş olabilir ve uyarı vermeden göçebilir.</w:t>
      </w:r>
    </w:p>
    <w:p>
      <w:pPr>
        <w:pStyle w:val="ListBullet"/>
      </w:pPr>
      <w:r>
        <w:t>Yerde yeni dairesel çökme, halka şeklinde çatlak, kuyuda ani su seviyesi değişimi, eğilen direk/çit veya binada yeni çatlak fark ederseniz yaklaşmayın, çevreyi işaretleyin ve 112 Acil Çağrı Merkezi ile belediyenize/AFAD'a bildirin.</w:t>
      </w:r>
    </w:p>
    <w:p>
      <w:pPr>
        <w:pStyle w:val="Heading1"/>
      </w:pPr>
      <w:r>
        <w:t>6. İzleme ağı ve kuantum hesaplama</w:t>
      </w:r>
    </w:p>
    <w:p>
      <w:r>
        <w:t>Beklenen obruk yoğunluğunu en iyi kapsayan ve birbirinden en az 1,5 km uzak 5 izleme noktası (InSAR köşe yansıtıcısı, GNSS veya piyezometre) 16 aday arasından QUBO optimizasyonuyla seçildi.</w:t>
      </w:r>
    </w:p>
    <w:p>
      <w:pPr>
        <w:jc w:val="center"/>
      </w:pPr>
      <w:r>
        <w:drawing>
          <wp:inline xmlns:a="http://schemas.openxmlformats.org/drawingml/2006/main" xmlns:pic="http://schemas.openxmlformats.org/drawingml/2006/picture">
            <wp:extent cx="4500000" cy="3794018"/>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500000" cy="3794018"/>
                    </a:xfrm>
                    <a:prstGeom prst="rect"/>
                  </pic:spPr>
                </pic:pic>
              </a:graphicData>
            </a:graphic>
          </wp:inline>
        </w:drawing>
      </w:r>
    </w:p>
    <w:p>
      <w:pPr>
        <w:jc w:val="center"/>
      </w:pPr>
      <w:r>
        <w:rPr>
          <w:i/>
          <w:color w:val="5B6A6C"/>
          <w:sz w:val="17"/>
        </w:rPr>
        <w:t>Şekil 6. Önerilen izleme noktaları.</w:t>
      </w:r>
    </w:p>
    <w:tbl>
      <w:tblPr>
        <w:tblStyle w:val="TableGrid"/>
        <w:tblW w:type="auto" w:w="0"/>
        <w:jc w:val="center"/>
        <w:tblLayout w:type="fixed"/>
        <w:tblLook w:firstColumn="1" w:firstRow="1" w:lastColumn="0" w:lastRow="0" w:noHBand="0" w:noVBand="1" w:val="04A0"/>
      </w:tblPr>
      <w:tblGrid>
        <w:gridCol w:w="2891"/>
        <w:gridCol w:w="1638"/>
        <w:gridCol w:w="1638"/>
        <w:gridCol w:w="1735"/>
        <w:gridCol w:w="1735"/>
      </w:tblGrid>
      <w:tr>
        <w:tc>
          <w:tcPr>
            <w:tcW w:type="dxa" w:w="2891"/>
            <w:shd w:val="clear" w:color="auto" w:fill="E6EDEA"/>
          </w:tcPr>
          <w:p>
            <w:pPr>
              <w:spacing w:after="0"/>
            </w:pPr>
            <w:r/>
            <w:r>
              <w:rPr>
                <w:b/>
                <w:sz w:val="18"/>
              </w:rPr>
              <w:t>Çözücü</w:t>
            </w:r>
          </w:p>
        </w:tc>
        <w:tc>
          <w:tcPr>
            <w:tcW w:type="dxa" w:w="1638"/>
            <w:shd w:val="clear" w:color="auto" w:fill="E6EDEA"/>
          </w:tcPr>
          <w:p>
            <w:pPr>
              <w:spacing w:after="0"/>
            </w:pPr>
            <w:r/>
            <w:r>
              <w:rPr>
                <w:b/>
                <w:sz w:val="18"/>
              </w:rPr>
              <w:t>Enerji</w:t>
            </w:r>
          </w:p>
        </w:tc>
        <w:tc>
          <w:tcPr>
            <w:tcW w:type="dxa" w:w="1638"/>
            <w:shd w:val="clear" w:color="auto" w:fill="E6EDEA"/>
          </w:tcPr>
          <w:p>
            <w:pPr>
              <w:spacing w:after="0"/>
            </w:pPr>
            <w:r/>
            <w:r>
              <w:rPr>
                <w:b/>
                <w:sz w:val="18"/>
              </w:rPr>
              <w:t>Kısıt sağlandı</w:t>
            </w:r>
          </w:p>
        </w:tc>
        <w:tc>
          <w:tcPr>
            <w:tcW w:type="dxa" w:w="1735"/>
            <w:shd w:val="clear" w:color="auto" w:fill="E6EDEA"/>
          </w:tcPr>
          <w:p>
            <w:pPr>
              <w:spacing w:after="0"/>
            </w:pPr>
            <w:r/>
            <w:r>
              <w:rPr>
                <w:b/>
                <w:sz w:val="18"/>
              </w:rPr>
              <w:t>Kapsanan risk</w:t>
            </w:r>
          </w:p>
        </w:tc>
        <w:tc>
          <w:tcPr>
            <w:tcW w:type="dxa" w:w="1735"/>
            <w:shd w:val="clear" w:color="auto" w:fill="E6EDEA"/>
          </w:tcPr>
          <w:p>
            <w:pPr>
              <w:spacing w:after="0"/>
            </w:pPr>
            <w:r/>
            <w:r>
              <w:rPr>
                <w:b/>
                <w:sz w:val="18"/>
              </w:rPr>
              <w:t>Süre (s)</w:t>
            </w:r>
          </w:p>
        </w:tc>
      </w:tr>
      <w:tr>
        <w:tc>
          <w:tcPr>
            <w:tcW w:type="dxa" w:w="2891"/>
          </w:tcPr>
          <w:p>
            <w:pPr>
              <w:spacing w:after="0"/>
            </w:pPr>
            <w:r/>
            <w:r>
              <w:rPr>
                <w:b w:val="0"/>
                <w:sz w:val="18"/>
              </w:rPr>
              <w:t>Kesin arama</w:t>
            </w:r>
          </w:p>
        </w:tc>
        <w:tc>
          <w:tcPr>
            <w:tcW w:type="dxa" w:w="1638"/>
          </w:tcPr>
          <w:p>
            <w:pPr>
              <w:spacing w:after="0"/>
              <w:jc w:val="right"/>
            </w:pPr>
            <w:r/>
            <w:r>
              <w:rPr>
                <w:b w:val="0"/>
                <w:sz w:val="18"/>
              </w:rPr>
              <w:t>−79,665</w:t>
            </w:r>
          </w:p>
        </w:tc>
        <w:tc>
          <w:tcPr>
            <w:tcW w:type="dxa" w:w="1638"/>
          </w:tcPr>
          <w:p>
            <w:pPr>
              <w:spacing w:after="0"/>
            </w:pPr>
            <w:r/>
            <w:r>
              <w:rPr>
                <w:b w:val="0"/>
                <w:sz w:val="18"/>
              </w:rPr>
              <w:t>Evet</w:t>
            </w:r>
          </w:p>
        </w:tc>
        <w:tc>
          <w:tcPr>
            <w:tcW w:type="dxa" w:w="1735"/>
          </w:tcPr>
          <w:p>
            <w:pPr>
              <w:spacing w:after="0"/>
              <w:jc w:val="right"/>
            </w:pPr>
            <w:r/>
            <w:r>
              <w:rPr>
                <w:b w:val="0"/>
                <w:sz w:val="18"/>
              </w:rPr>
              <w:t>2,589</w:t>
            </w:r>
          </w:p>
        </w:tc>
        <w:tc>
          <w:tcPr>
            <w:tcW w:type="dxa" w:w="1735"/>
          </w:tcPr>
          <w:p>
            <w:pPr>
              <w:spacing w:after="0"/>
              <w:jc w:val="right"/>
            </w:pPr>
            <w:r/>
            <w:r>
              <w:rPr>
                <w:b w:val="0"/>
                <w:sz w:val="18"/>
              </w:rPr>
              <w:t>1,2</w:t>
            </w:r>
          </w:p>
        </w:tc>
      </w:tr>
      <w:tr>
        <w:tc>
          <w:tcPr>
            <w:tcW w:type="dxa" w:w="2891"/>
          </w:tcPr>
          <w:p>
            <w:pPr>
              <w:spacing w:after="0"/>
            </w:pPr>
            <w:r/>
            <w:r>
              <w:rPr>
                <w:b w:val="0"/>
                <w:sz w:val="18"/>
              </w:rPr>
              <w:t>Benzetimli tavlama</w:t>
            </w:r>
          </w:p>
        </w:tc>
        <w:tc>
          <w:tcPr>
            <w:tcW w:type="dxa" w:w="1638"/>
          </w:tcPr>
          <w:p>
            <w:pPr>
              <w:spacing w:after="0"/>
              <w:jc w:val="right"/>
            </w:pPr>
            <w:r/>
            <w:r>
              <w:rPr>
                <w:b w:val="0"/>
                <w:sz w:val="18"/>
              </w:rPr>
              <w:t>−79,618</w:t>
            </w:r>
          </w:p>
        </w:tc>
        <w:tc>
          <w:tcPr>
            <w:tcW w:type="dxa" w:w="1638"/>
          </w:tcPr>
          <w:p>
            <w:pPr>
              <w:spacing w:after="0"/>
            </w:pPr>
            <w:r/>
            <w:r>
              <w:rPr>
                <w:b w:val="0"/>
                <w:sz w:val="18"/>
              </w:rPr>
              <w:t>Evet</w:t>
            </w:r>
          </w:p>
        </w:tc>
        <w:tc>
          <w:tcPr>
            <w:tcW w:type="dxa" w:w="1735"/>
          </w:tcPr>
          <w:p>
            <w:pPr>
              <w:spacing w:after="0"/>
              <w:jc w:val="right"/>
            </w:pPr>
            <w:r/>
            <w:r>
              <w:rPr>
                <w:b w:val="0"/>
                <w:sz w:val="18"/>
              </w:rPr>
              <w:t>2,563</w:t>
            </w:r>
          </w:p>
        </w:tc>
        <w:tc>
          <w:tcPr>
            <w:tcW w:type="dxa" w:w="1735"/>
          </w:tcPr>
          <w:p>
            <w:pPr>
              <w:spacing w:after="0"/>
              <w:jc w:val="right"/>
            </w:pPr>
            <w:r/>
            <w:r>
              <w:rPr>
                <w:b w:val="0"/>
                <w:sz w:val="18"/>
              </w:rPr>
              <w:t>0,1</w:t>
            </w:r>
          </w:p>
        </w:tc>
      </w:tr>
      <w:tr>
        <w:tc>
          <w:tcPr>
            <w:tcW w:type="dxa" w:w="2891"/>
          </w:tcPr>
          <w:p>
            <w:pPr>
              <w:spacing w:after="0"/>
            </w:pPr>
            <w:r/>
            <w:r>
              <w:rPr>
                <w:b w:val="0"/>
                <w:sz w:val="18"/>
              </w:rPr>
              <w:t>QAOA (p=2)</w:t>
            </w:r>
          </w:p>
        </w:tc>
        <w:tc>
          <w:tcPr>
            <w:tcW w:type="dxa" w:w="1638"/>
          </w:tcPr>
          <w:p>
            <w:pPr>
              <w:spacing w:after="0"/>
              <w:jc w:val="right"/>
            </w:pPr>
            <w:r/>
            <w:r>
              <w:rPr>
                <w:b w:val="0"/>
                <w:sz w:val="18"/>
              </w:rPr>
              <w:t>−75,767</w:t>
            </w:r>
          </w:p>
        </w:tc>
        <w:tc>
          <w:tcPr>
            <w:tcW w:type="dxa" w:w="1638"/>
          </w:tcPr>
          <w:p>
            <w:pPr>
              <w:spacing w:after="0"/>
            </w:pPr>
            <w:r/>
            <w:r>
              <w:rPr>
                <w:b w:val="0"/>
                <w:sz w:val="18"/>
              </w:rPr>
              <w:t>Hayır</w:t>
            </w:r>
          </w:p>
        </w:tc>
        <w:tc>
          <w:tcPr>
            <w:tcW w:type="dxa" w:w="1735"/>
          </w:tcPr>
          <w:p>
            <w:pPr>
              <w:spacing w:after="0"/>
              <w:jc w:val="right"/>
            </w:pPr>
            <w:r/>
            <w:r>
              <w:rPr>
                <w:b w:val="0"/>
                <w:sz w:val="18"/>
              </w:rPr>
              <w:t>2,091</w:t>
            </w:r>
          </w:p>
        </w:tc>
        <w:tc>
          <w:tcPr>
            <w:tcW w:type="dxa" w:w="1735"/>
          </w:tcPr>
          <w:p>
            <w:pPr>
              <w:spacing w:after="0"/>
              <w:jc w:val="right"/>
            </w:pPr>
            <w:r/>
            <w:r>
              <w:rPr>
                <w:b w:val="0"/>
                <w:sz w:val="18"/>
              </w:rPr>
              <w:t>89,3</w:t>
            </w:r>
          </w:p>
        </w:tc>
      </w:tr>
    </w:tbl>
    <w:p/>
    <w:p>
      <w:r>
        <w:t>Kuantum çekirdek AUC 0,864, aynı bütçeli klasik çekirdek 0,873 verdi; güven aralıkları örtüştüğü için aralarındaki fark anlamlı değil. En iyi klasik öğrenen (Random Forest) AUC 0,893 ile ikisinin de önünde.</w:t>
      </w:r>
    </w:p>
    <w:tbl>
      <w:tblPr>
        <w:tblStyle w:val="TableGrid"/>
        <w:tblW w:type="auto" w:w="0"/>
        <w:jc w:val="center"/>
        <w:tblLayout w:type="fixed"/>
        <w:tblLook w:firstColumn="1" w:firstRow="1" w:lastColumn="0" w:lastRow="0" w:noHBand="0" w:noVBand="1" w:val="04A0"/>
      </w:tblPr>
      <w:tblGrid>
        <w:gridCol w:w="3855"/>
        <w:gridCol w:w="1446"/>
        <w:gridCol w:w="1253"/>
        <w:gridCol w:w="1638"/>
        <w:gridCol w:w="1446"/>
      </w:tblGrid>
      <w:tr>
        <w:tc>
          <w:tcPr>
            <w:tcW w:type="dxa" w:w="3855"/>
            <w:shd w:val="clear" w:color="auto" w:fill="E6EDEA"/>
          </w:tcPr>
          <w:p>
            <w:pPr>
              <w:spacing w:after="0"/>
            </w:pPr>
            <w:r/>
            <w:r>
              <w:rPr>
                <w:b/>
                <w:sz w:val="18"/>
              </w:rPr>
              <w:t>Devre (IBM Heron'a derlendikten sonra)</w:t>
            </w:r>
          </w:p>
        </w:tc>
        <w:tc>
          <w:tcPr>
            <w:tcW w:type="dxa" w:w="1446"/>
            <w:shd w:val="clear" w:color="auto" w:fill="E6EDEA"/>
          </w:tcPr>
          <w:p>
            <w:pPr>
              <w:spacing w:after="0"/>
            </w:pPr>
            <w:r/>
            <w:r>
              <w:rPr>
                <w:b/>
                <w:sz w:val="18"/>
              </w:rPr>
              <w:t>2 kübitlik kapı</w:t>
            </w:r>
          </w:p>
        </w:tc>
        <w:tc>
          <w:tcPr>
            <w:tcW w:type="dxa" w:w="1253"/>
            <w:shd w:val="clear" w:color="auto" w:fill="E6EDEA"/>
          </w:tcPr>
          <w:p>
            <w:pPr>
              <w:spacing w:after="0"/>
            </w:pPr>
            <w:r/>
            <w:r>
              <w:rPr>
                <w:b/>
                <w:sz w:val="18"/>
              </w:rPr>
              <w:t>Derinlik</w:t>
            </w:r>
          </w:p>
        </w:tc>
        <w:tc>
          <w:tcPr>
            <w:tcW w:type="dxa" w:w="1638"/>
            <w:shd w:val="clear" w:color="auto" w:fill="E6EDEA"/>
          </w:tcPr>
          <w:p>
            <w:pPr>
              <w:spacing w:after="0"/>
            </w:pPr>
            <w:r/>
            <w:r>
              <w:rPr>
                <w:b/>
                <w:sz w:val="18"/>
              </w:rPr>
              <w:t>Tahmini sadakat</w:t>
            </w:r>
          </w:p>
        </w:tc>
        <w:tc>
          <w:tcPr>
            <w:tcW w:type="dxa" w:w="1446"/>
            <w:shd w:val="clear" w:color="auto" w:fill="E6EDEA"/>
          </w:tcPr>
          <w:p>
            <w:pPr>
              <w:spacing w:after="0"/>
            </w:pPr>
            <w:r/>
            <w:r>
              <w:rPr>
                <w:b/>
                <w:sz w:val="18"/>
              </w:rPr>
              <w:t>Uygun</w:t>
            </w:r>
          </w:p>
        </w:tc>
      </w:tr>
      <w:tr>
        <w:tc>
          <w:tcPr>
            <w:tcW w:type="dxa" w:w="3855"/>
          </w:tcPr>
          <w:p>
            <w:pPr>
              <w:spacing w:after="0"/>
            </w:pPr>
            <w:r/>
            <w:r>
              <w:rPr>
                <w:b w:val="0"/>
                <w:sz w:val="18"/>
              </w:rPr>
              <w:t>Q-çekirdek 6q×2 tekrar</w:t>
            </w:r>
          </w:p>
        </w:tc>
        <w:tc>
          <w:tcPr>
            <w:tcW w:type="dxa" w:w="1446"/>
          </w:tcPr>
          <w:p>
            <w:pPr>
              <w:spacing w:after="0"/>
              <w:jc w:val="right"/>
            </w:pPr>
            <w:r/>
            <w:r>
              <w:rPr>
                <w:b w:val="0"/>
                <w:sz w:val="18"/>
              </w:rPr>
              <w:t>90</w:t>
            </w:r>
          </w:p>
        </w:tc>
        <w:tc>
          <w:tcPr>
            <w:tcW w:type="dxa" w:w="1253"/>
          </w:tcPr>
          <w:p>
            <w:pPr>
              <w:spacing w:after="0"/>
              <w:jc w:val="right"/>
            </w:pPr>
            <w:r/>
            <w:r>
              <w:rPr>
                <w:b w:val="0"/>
                <w:sz w:val="18"/>
              </w:rPr>
              <w:t>256</w:t>
            </w:r>
          </w:p>
        </w:tc>
        <w:tc>
          <w:tcPr>
            <w:tcW w:type="dxa" w:w="1638"/>
          </w:tcPr>
          <w:p>
            <w:pPr>
              <w:spacing w:after="0"/>
              <w:jc w:val="right"/>
            </w:pPr>
            <w:r/>
            <w:r>
              <w:rPr>
                <w:b w:val="0"/>
                <w:sz w:val="18"/>
              </w:rPr>
              <w:t>0,59</w:t>
            </w:r>
          </w:p>
        </w:tc>
        <w:tc>
          <w:tcPr>
            <w:tcW w:type="dxa" w:w="1446"/>
          </w:tcPr>
          <w:p>
            <w:pPr>
              <w:spacing w:after="0"/>
            </w:pPr>
            <w:r/>
            <w:r>
              <w:rPr>
                <w:b w:val="0"/>
                <w:sz w:val="18"/>
              </w:rPr>
              <w:t>Evet</w:t>
            </w:r>
          </w:p>
        </w:tc>
      </w:tr>
      <w:tr>
        <w:tc>
          <w:tcPr>
            <w:tcW w:type="dxa" w:w="3855"/>
          </w:tcPr>
          <w:p>
            <w:pPr>
              <w:spacing w:after="0"/>
            </w:pPr>
            <w:r/>
            <w:r>
              <w:rPr>
                <w:b w:val="0"/>
                <w:sz w:val="18"/>
              </w:rPr>
              <w:t>Q-çekirdek 6q×1 tekrar</w:t>
            </w:r>
          </w:p>
        </w:tc>
        <w:tc>
          <w:tcPr>
            <w:tcW w:type="dxa" w:w="1446"/>
          </w:tcPr>
          <w:p>
            <w:pPr>
              <w:spacing w:after="0"/>
              <w:jc w:val="right"/>
            </w:pPr>
            <w:r/>
            <w:r>
              <w:rPr>
                <w:b w:val="0"/>
                <w:sz w:val="18"/>
              </w:rPr>
              <w:t>36</w:t>
            </w:r>
          </w:p>
        </w:tc>
        <w:tc>
          <w:tcPr>
            <w:tcW w:type="dxa" w:w="1253"/>
          </w:tcPr>
          <w:p>
            <w:pPr>
              <w:spacing w:after="0"/>
              <w:jc w:val="right"/>
            </w:pPr>
            <w:r/>
            <w:r>
              <w:rPr>
                <w:b w:val="0"/>
                <w:sz w:val="18"/>
              </w:rPr>
              <w:t>107</w:t>
            </w:r>
          </w:p>
        </w:tc>
        <w:tc>
          <w:tcPr>
            <w:tcW w:type="dxa" w:w="1638"/>
          </w:tcPr>
          <w:p>
            <w:pPr>
              <w:spacing w:after="0"/>
              <w:jc w:val="right"/>
            </w:pPr>
            <w:r/>
            <w:r>
              <w:rPr>
                <w:b w:val="0"/>
                <w:sz w:val="18"/>
              </w:rPr>
              <w:t>0,77</w:t>
            </w:r>
          </w:p>
        </w:tc>
        <w:tc>
          <w:tcPr>
            <w:tcW w:type="dxa" w:w="1446"/>
          </w:tcPr>
          <w:p>
            <w:pPr>
              <w:spacing w:after="0"/>
            </w:pPr>
            <w:r/>
            <w:r>
              <w:rPr>
                <w:b w:val="0"/>
                <w:sz w:val="18"/>
              </w:rPr>
              <w:t>Evet</w:t>
            </w:r>
          </w:p>
        </w:tc>
      </w:tr>
      <w:tr>
        <w:tc>
          <w:tcPr>
            <w:tcW w:type="dxa" w:w="3855"/>
          </w:tcPr>
          <w:p>
            <w:pPr>
              <w:spacing w:after="0"/>
            </w:pPr>
            <w:r/>
            <w:r>
              <w:rPr>
                <w:b w:val="0"/>
                <w:sz w:val="18"/>
              </w:rPr>
              <w:t>QAOA p=2, 16q</w:t>
            </w:r>
          </w:p>
        </w:tc>
        <w:tc>
          <w:tcPr>
            <w:tcW w:type="dxa" w:w="1446"/>
          </w:tcPr>
          <w:p>
            <w:pPr>
              <w:spacing w:after="0"/>
              <w:jc w:val="right"/>
            </w:pPr>
            <w:r/>
            <w:r>
              <w:rPr>
                <w:b w:val="0"/>
                <w:sz w:val="18"/>
              </w:rPr>
              <w:t>781</w:t>
            </w:r>
          </w:p>
        </w:tc>
        <w:tc>
          <w:tcPr>
            <w:tcW w:type="dxa" w:w="1253"/>
          </w:tcPr>
          <w:p>
            <w:pPr>
              <w:spacing w:after="0"/>
              <w:jc w:val="right"/>
            </w:pPr>
            <w:r/>
            <w:r>
              <w:rPr>
                <w:b w:val="0"/>
                <w:sz w:val="18"/>
              </w:rPr>
              <w:t>721</w:t>
            </w:r>
          </w:p>
        </w:tc>
        <w:tc>
          <w:tcPr>
            <w:tcW w:type="dxa" w:w="1638"/>
          </w:tcPr>
          <w:p>
            <w:pPr>
              <w:spacing w:after="0"/>
              <w:jc w:val="right"/>
            </w:pPr>
            <w:r/>
            <w:r>
              <w:rPr>
                <w:b w:val="0"/>
                <w:sz w:val="18"/>
              </w:rPr>
              <w:t>0,02</w:t>
            </w:r>
          </w:p>
        </w:tc>
        <w:tc>
          <w:tcPr>
            <w:tcW w:type="dxa" w:w="1446"/>
          </w:tcPr>
          <w:p>
            <w:pPr>
              <w:spacing w:after="0"/>
            </w:pPr>
            <w:r/>
            <w:r>
              <w:rPr>
                <w:b w:val="0"/>
                <w:sz w:val="18"/>
              </w:rPr>
              <w:t>Hayır</w:t>
            </w:r>
          </w:p>
        </w:tc>
      </w:tr>
    </w:tbl>
    <w:p/>
    <w:p>
      <w:pPr>
        <w:pStyle w:val="Heading1"/>
      </w:pPr>
      <w:r>
        <w:t>7. Ne söyleyebiliriz, ne söyleyemeyiz?</w:t>
      </w:r>
    </w:p>
    <w:p>
      <w:pPr>
        <w:pStyle w:val="Heading2"/>
      </w:pPr>
      <w:r>
        <w:t>Söyleyebildiklerimiz</w:t>
      </w:r>
    </w:p>
    <w:p>
      <w:pPr>
        <w:pStyle w:val="ListBullet"/>
      </w:pPr>
      <w:r>
        <w:t>Bölgenin hangi kesimlerinin obruk açısından daha riskli olduğunu (göreli sıralama) söyleyebiliriz.</w:t>
      </w:r>
    </w:p>
    <w:p>
      <w:pPr>
        <w:pStyle w:val="ListBullet"/>
      </w:pPr>
      <w:r>
        <w:t>Uydu radarı ve GNSS ile ölçülen geniş alanlı yer çökmesinin hızını söyleyebiliriz.</w:t>
      </w:r>
    </w:p>
    <w:p>
      <w:pPr>
        <w:pStyle w:val="ListBullet"/>
      </w:pPr>
      <w:r>
        <w:t>Yeraltı suyu düşüşü sürerse önümüzdeki 15 yılda bölgede beklenen obruk sayısının büyüklüğünü (geniş bir aralıkla) söyleyebiliriz.</w:t>
      </w:r>
    </w:p>
    <w:p>
      <w:pPr>
        <w:pStyle w:val="Heading2"/>
      </w:pPr>
      <w:r>
        <w:t>Söyleyemediklerimiz</w:t>
      </w:r>
    </w:p>
    <w:p>
      <w:pPr>
        <w:pStyle w:val="ListBullet"/>
      </w:pPr>
      <w:r>
        <w:t>Bir obruğun tam olarak nerede ve ne zaman açılacağını söyleyemeyiz.</w:t>
      </w:r>
    </w:p>
    <w:p>
      <w:pPr>
        <w:pStyle w:val="ListBullet"/>
      </w:pPr>
      <w:r>
        <w:t>Belirli bir evin, ahırın veya tarlanın altında boşluk olup olmadığını söyleyemeyiz; bunun için yerinde jeofizik etüt ve sondaj gerekir.</w:t>
      </w:r>
    </w:p>
    <w:p>
      <w:pPr>
        <w:pStyle w:val="ListBullet"/>
      </w:pPr>
      <w:r>
        <w:t>100 metreden küçük ayrıntıları ve uydu sinyalinin bozulduğu tarlalardaki hareketi göremeyiz.</w:t>
      </w:r>
    </w:p>
    <w:p>
      <w:pPr>
        <w:pStyle w:val="ListBullet"/>
      </w:pPr>
      <w:r>
        <w:t>Kullanılan obruk envanteri eksiktir (bu çalıştırmada 44 obruk; AFAD'ın kaydı 741); harita tam envanter geldiğinde değişebilir.</w:t>
      </w:r>
    </w:p>
    <w:p>
      <w:pPr>
        <w:pStyle w:val="Heading2"/>
      </w:pPr>
      <w:r>
        <w:t>Kurumlar için öneriler</w:t>
      </w:r>
    </w:p>
    <w:p>
      <w:pPr>
        <w:pStyle w:val="ListBullet"/>
      </w:pPr>
      <w:r>
        <w:t>AFAD / Valilik: Çok yüksek ve yüksek sınıftaki yerleşimler için yerinde gözlem programı; obruk envanterinin (tarih, çap, derinlik, koordinat) açık ve makine okunur biçimde güncellenmesi motorun doğruluğunu en çok artıracak adımdır.</w:t>
      </w:r>
    </w:p>
    <w:p>
      <w:pPr>
        <w:pStyle w:val="ListBullet"/>
      </w:pPr>
      <w:r>
        <w:t>Belediye / İl Özel İdaresi: Yüksek sınıflarda imar ve yapı izni süreçlerinde jeofizik zemin etüdü şartı; yol ve altyapı hatlarında periyodik kontrol.</w:t>
      </w:r>
    </w:p>
    <w:p>
      <w:pPr>
        <w:pStyle w:val="ListBullet"/>
      </w:pPr>
      <w:r>
        <w:t>DSİ: Gözlem kuyusu seviyelerinin paylaşılması ve ruhsatsız kuyu çekiminin azaltılması; motor su düşüşü durduğunda 15 yıllık beklenen obruk sayısının yaklaşık üçte bire indiğini öngörüyor (varsayıma duyarlı).</w:t>
      </w:r>
    </w:p>
    <w:p>
      <w:pPr>
        <w:pStyle w:val="ListBullet"/>
      </w:pPr>
      <w:r>
        <w:t>HGM / TKGM: KAP1/KAPN çevresinde TUSAGA-Aktif ve yeni GNSS noktalarıyla uydu radar hızlarının doğrulanması; önerilen 5 izleme noktasına köşe yansıtıcı veya GNSS kurulması.</w:t>
      </w:r>
    </w:p>
    <w:p>
      <w:pPr>
        <w:pStyle w:val="Heading1"/>
      </w:pPr>
      <w:r>
        <w:t>8. Veri izlenebilirliği ve dosyalar</w:t>
      </w:r>
    </w:p>
    <w:tbl>
      <w:tblPr>
        <w:tblStyle w:val="TableGrid"/>
        <w:tblW w:type="auto" w:w="0"/>
        <w:jc w:val="center"/>
        <w:tblLayout w:type="fixed"/>
        <w:tblLook w:firstColumn="1" w:firstRow="1" w:lastColumn="0" w:lastRow="0" w:noHBand="0" w:noVBand="1" w:val="04A0"/>
      </w:tblPr>
      <w:tblGrid>
        <w:gridCol w:w="4819"/>
        <w:gridCol w:w="2409"/>
        <w:gridCol w:w="2409"/>
      </w:tblGrid>
      <w:tr>
        <w:tc>
          <w:tcPr>
            <w:tcW w:type="dxa" w:w="4819"/>
            <w:shd w:val="clear" w:color="auto" w:fill="E6EDEA"/>
          </w:tcPr>
          <w:p>
            <w:pPr>
              <w:spacing w:after="0"/>
            </w:pPr>
            <w:r/>
            <w:r>
              <w:rPr>
                <w:b/>
                <w:sz w:val="18"/>
              </w:rPr>
              <w:t>Kaynak</w:t>
            </w:r>
          </w:p>
        </w:tc>
        <w:tc>
          <w:tcPr>
            <w:tcW w:type="dxa" w:w="2409"/>
            <w:shd w:val="clear" w:color="auto" w:fill="E6EDEA"/>
          </w:tcPr>
          <w:p>
            <w:pPr>
              <w:spacing w:after="0"/>
            </w:pPr>
            <w:r/>
            <w:r>
              <w:rPr>
                <w:b/>
                <w:sz w:val="18"/>
              </w:rPr>
              <w:t>İstek</w:t>
            </w:r>
          </w:p>
        </w:tc>
        <w:tc>
          <w:tcPr>
            <w:tcW w:type="dxa" w:w="2409"/>
            <w:shd w:val="clear" w:color="auto" w:fill="E6EDEA"/>
          </w:tcPr>
          <w:p>
            <w:pPr>
              <w:spacing w:after="0"/>
            </w:pPr>
            <w:r/>
            <w:r>
              <w:rPr>
                <w:b/>
                <w:sz w:val="18"/>
              </w:rPr>
              <w:t>Başarılı / önbellek</w:t>
            </w:r>
          </w:p>
        </w:tc>
      </w:tr>
      <w:tr>
        <w:tc>
          <w:tcPr>
            <w:tcW w:type="dxa" w:w="4819"/>
          </w:tcPr>
          <w:p>
            <w:pPr>
              <w:spacing w:after="0"/>
            </w:pPr>
            <w:r/>
            <w:r>
              <w:rPr>
                <w:b w:val="0"/>
                <w:sz w:val="18"/>
              </w:rPr>
              <w:t>copdem</w:t>
            </w:r>
          </w:p>
        </w:tc>
        <w:tc>
          <w:tcPr>
            <w:tcW w:type="dxa" w:w="2409"/>
          </w:tcPr>
          <w:p>
            <w:pPr>
              <w:spacing w:after="0"/>
              <w:jc w:val="right"/>
            </w:pPr>
            <w:r/>
            <w:r>
              <w:rPr>
                <w:b w:val="0"/>
                <w:sz w:val="18"/>
              </w:rPr>
              <w:t>2</w:t>
            </w:r>
          </w:p>
        </w:tc>
        <w:tc>
          <w:tcPr>
            <w:tcW w:type="dxa" w:w="2409"/>
          </w:tcPr>
          <w:p>
            <w:pPr>
              <w:spacing w:after="0"/>
              <w:jc w:val="right"/>
            </w:pPr>
            <w:r/>
            <w:r>
              <w:rPr>
                <w:b w:val="0"/>
                <w:sz w:val="18"/>
              </w:rPr>
              <w:t>2</w:t>
            </w:r>
          </w:p>
        </w:tc>
      </w:tr>
      <w:tr>
        <w:tc>
          <w:tcPr>
            <w:tcW w:type="dxa" w:w="4819"/>
          </w:tcPr>
          <w:p>
            <w:pPr>
              <w:spacing w:after="0"/>
            </w:pPr>
            <w:r/>
            <w:r>
              <w:rPr>
                <w:b w:val="0"/>
                <w:sz w:val="18"/>
              </w:rPr>
              <w:t>gem_faults</w:t>
            </w:r>
          </w:p>
        </w:tc>
        <w:tc>
          <w:tcPr>
            <w:tcW w:type="dxa" w:w="2409"/>
          </w:tcPr>
          <w:p>
            <w:pPr>
              <w:spacing w:after="0"/>
              <w:jc w:val="right"/>
            </w:pPr>
            <w:r/>
            <w:r>
              <w:rPr>
                <w:b w:val="0"/>
                <w:sz w:val="18"/>
              </w:rPr>
              <w:t>2</w:t>
            </w:r>
          </w:p>
        </w:tc>
        <w:tc>
          <w:tcPr>
            <w:tcW w:type="dxa" w:w="2409"/>
          </w:tcPr>
          <w:p>
            <w:pPr>
              <w:spacing w:after="0"/>
              <w:jc w:val="right"/>
            </w:pPr>
            <w:r/>
            <w:r>
              <w:rPr>
                <w:b w:val="0"/>
                <w:sz w:val="18"/>
              </w:rPr>
              <w:t>2</w:t>
            </w:r>
          </w:p>
        </w:tc>
      </w:tr>
      <w:tr>
        <w:tc>
          <w:tcPr>
            <w:tcW w:type="dxa" w:w="4819"/>
          </w:tcPr>
          <w:p>
            <w:pPr>
              <w:spacing w:after="0"/>
            </w:pPr>
            <w:r/>
            <w:r>
              <w:rPr>
                <w:b w:val="0"/>
                <w:sz w:val="18"/>
              </w:rPr>
              <w:t>licsar</w:t>
            </w:r>
          </w:p>
        </w:tc>
        <w:tc>
          <w:tcPr>
            <w:tcW w:type="dxa" w:w="2409"/>
          </w:tcPr>
          <w:p>
            <w:pPr>
              <w:spacing w:after="0"/>
              <w:jc w:val="right"/>
            </w:pPr>
            <w:r/>
            <w:r>
              <w:rPr>
                <w:b w:val="0"/>
                <w:sz w:val="18"/>
              </w:rPr>
              <w:t>2</w:t>
            </w:r>
          </w:p>
        </w:tc>
        <w:tc>
          <w:tcPr>
            <w:tcW w:type="dxa" w:w="2409"/>
          </w:tcPr>
          <w:p>
            <w:pPr>
              <w:spacing w:after="0"/>
              <w:jc w:val="right"/>
            </w:pPr>
            <w:r/>
            <w:r>
              <w:rPr>
                <w:b w:val="0"/>
                <w:sz w:val="18"/>
              </w:rPr>
              <w:t>2</w:t>
            </w:r>
          </w:p>
        </w:tc>
      </w:tr>
      <w:tr>
        <w:tc>
          <w:tcPr>
            <w:tcW w:type="dxa" w:w="4819"/>
          </w:tcPr>
          <w:p>
            <w:pPr>
              <w:spacing w:after="0"/>
            </w:pPr>
            <w:r/>
            <w:r>
              <w:rPr>
                <w:b w:val="0"/>
                <w:sz w:val="18"/>
              </w:rPr>
              <w:t>ngl</w:t>
            </w:r>
          </w:p>
        </w:tc>
        <w:tc>
          <w:tcPr>
            <w:tcW w:type="dxa" w:w="2409"/>
          </w:tcPr>
          <w:p>
            <w:pPr>
              <w:spacing w:after="0"/>
              <w:jc w:val="right"/>
            </w:pPr>
            <w:r/>
            <w:r>
              <w:rPr>
                <w:b w:val="0"/>
                <w:sz w:val="18"/>
              </w:rPr>
              <w:t>2</w:t>
            </w:r>
          </w:p>
        </w:tc>
        <w:tc>
          <w:tcPr>
            <w:tcW w:type="dxa" w:w="2409"/>
          </w:tcPr>
          <w:p>
            <w:pPr>
              <w:spacing w:after="0"/>
              <w:jc w:val="right"/>
            </w:pPr>
            <w:r/>
            <w:r>
              <w:rPr>
                <w:b w:val="0"/>
                <w:sz w:val="18"/>
              </w:rPr>
              <w:t>2</w:t>
            </w:r>
          </w:p>
        </w:tc>
      </w:tr>
      <w:tr>
        <w:tc>
          <w:tcPr>
            <w:tcW w:type="dxa" w:w="4819"/>
          </w:tcPr>
          <w:p>
            <w:pPr>
              <w:spacing w:after="0"/>
            </w:pPr>
            <w:r/>
            <w:r>
              <w:rPr>
                <w:b w:val="0"/>
                <w:sz w:val="18"/>
              </w:rPr>
              <w:t>osm</w:t>
            </w:r>
          </w:p>
        </w:tc>
        <w:tc>
          <w:tcPr>
            <w:tcW w:type="dxa" w:w="2409"/>
          </w:tcPr>
          <w:p>
            <w:pPr>
              <w:spacing w:after="0"/>
              <w:jc w:val="right"/>
            </w:pPr>
            <w:r/>
            <w:r>
              <w:rPr>
                <w:b w:val="0"/>
                <w:sz w:val="18"/>
              </w:rPr>
              <w:t>2</w:t>
            </w:r>
          </w:p>
        </w:tc>
        <w:tc>
          <w:tcPr>
            <w:tcW w:type="dxa" w:w="2409"/>
          </w:tcPr>
          <w:p>
            <w:pPr>
              <w:spacing w:after="0"/>
              <w:jc w:val="right"/>
            </w:pPr>
            <w:r/>
            <w:r>
              <w:rPr>
                <w:b w:val="0"/>
                <w:sz w:val="18"/>
              </w:rPr>
              <w:t>2</w:t>
            </w:r>
          </w:p>
        </w:tc>
      </w:tr>
      <w:tr>
        <w:tc>
          <w:tcPr>
            <w:tcW w:type="dxa" w:w="4819"/>
          </w:tcPr>
          <w:p>
            <w:pPr>
              <w:spacing w:after="0"/>
            </w:pPr>
            <w:r/>
            <w:r>
              <w:rPr>
                <w:b w:val="0"/>
                <w:sz w:val="18"/>
              </w:rPr>
              <w:t>soilgrids</w:t>
            </w:r>
          </w:p>
        </w:tc>
        <w:tc>
          <w:tcPr>
            <w:tcW w:type="dxa" w:w="2409"/>
          </w:tcPr>
          <w:p>
            <w:pPr>
              <w:spacing w:after="0"/>
              <w:jc w:val="right"/>
            </w:pPr>
            <w:r/>
            <w:r>
              <w:rPr>
                <w:b w:val="0"/>
                <w:sz w:val="18"/>
              </w:rPr>
              <w:t>1</w:t>
            </w:r>
          </w:p>
        </w:tc>
        <w:tc>
          <w:tcPr>
            <w:tcW w:type="dxa" w:w="2409"/>
          </w:tcPr>
          <w:p>
            <w:pPr>
              <w:spacing w:after="0"/>
              <w:jc w:val="right"/>
            </w:pPr>
            <w:r/>
            <w:r>
              <w:rPr>
                <w:b w:val="0"/>
                <w:sz w:val="18"/>
              </w:rPr>
              <w:t>1</w:t>
            </w:r>
          </w:p>
        </w:tc>
      </w:tr>
      <w:tr>
        <w:tc>
          <w:tcPr>
            <w:tcW w:type="dxa" w:w="4819"/>
          </w:tcPr>
          <w:p>
            <w:pPr>
              <w:spacing w:after="0"/>
            </w:pPr>
            <w:r/>
            <w:r>
              <w:rPr>
                <w:b w:val="0"/>
                <w:sz w:val="18"/>
              </w:rPr>
              <w:t>worldcover</w:t>
            </w:r>
          </w:p>
        </w:tc>
        <w:tc>
          <w:tcPr>
            <w:tcW w:type="dxa" w:w="2409"/>
          </w:tcPr>
          <w:p>
            <w:pPr>
              <w:spacing w:after="0"/>
              <w:jc w:val="right"/>
            </w:pPr>
            <w:r/>
            <w:r>
              <w:rPr>
                <w:b w:val="0"/>
                <w:sz w:val="18"/>
              </w:rPr>
              <w:t>1</w:t>
            </w:r>
          </w:p>
        </w:tc>
        <w:tc>
          <w:tcPr>
            <w:tcW w:type="dxa" w:w="2409"/>
          </w:tcPr>
          <w:p>
            <w:pPr>
              <w:spacing w:after="0"/>
              <w:jc w:val="right"/>
            </w:pPr>
            <w:r/>
            <w:r>
              <w:rPr>
                <w:b w:val="0"/>
                <w:sz w:val="18"/>
              </w:rPr>
              <w:t>1</w:t>
            </w:r>
          </w:p>
        </w:tc>
      </w:tr>
    </w:tbl>
    <w:p/>
    <w:p>
      <w:r>
        <w:t>Bu çalıştırmanın çıktı klasöründeki dosyalar: KOBRA_harita.html, bolge_ozeti.txt, cv_metrics.csv, exp_annual_events.tif, hardware_readiness.csv, inventory_used.csv, p_event_1yr.tif, p_learner.tif, p_proximity.tif, physics_scenarios.csv, provenance.csv, q_susceptibility.tif, qubo_monitoring.csv, susceptibility.tif, yerlesim_kartlari.csv.</w:t>
      </w:r>
    </w:p>
    <w:sectPr w:rsidR="00FC693F" w:rsidRPr="0006063C" w:rsidSect="00034616">
      <w:headerReference w:type="default" r:id="rId9"/>
      <w:footerReference w:type="default" r:id="rId1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A6C"/>
        <w:sz w:val="16"/>
      </w:rPr>
      <w:t xml:space="preserve">BVK Technology · sayfa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B6A6C"/>
        <w:sz w:val="16"/>
      </w:rPr>
      <w:t>KOBRA · Karapınar obruk risk analizi · sonuç raporu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D2A2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eastAsia="Calibri"/>
      <w:b/>
      <w:bCs/>
      <w:color w:val="0E6B7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eastAsia="Calibri"/>
      <w:b/>
      <w:bCs/>
      <w:color w:val="1D2A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